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71" w:rsidRDefault="00C06D71" w:rsidP="008374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СТРАНЫ БРИКС</w:t>
      </w:r>
      <w:r w:rsidR="008374ED">
        <w:rPr>
          <w:rFonts w:ascii="Times New Roman" w:hAnsi="Times New Roman" w:cs="Times New Roman"/>
          <w:b/>
          <w:sz w:val="28"/>
        </w:rPr>
        <w:t xml:space="preserve">: </w:t>
      </w:r>
      <w:r w:rsidR="00466C26">
        <w:rPr>
          <w:rFonts w:ascii="Times New Roman" w:hAnsi="Times New Roman" w:cs="Times New Roman"/>
          <w:b/>
          <w:sz w:val="28"/>
        </w:rPr>
        <w:t>Южно-Африканская Республика</w:t>
      </w:r>
    </w:p>
    <w:p w:rsidR="000B2492" w:rsidRDefault="000B2492" w:rsidP="008374E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B2492" w:rsidRDefault="000B2492" w:rsidP="000B2492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0B2492">
        <w:rPr>
          <w:rFonts w:ascii="Times New Roman" w:hAnsi="Times New Roman" w:cs="Times New Roman"/>
          <w:b/>
          <w:sz w:val="28"/>
        </w:rPr>
        <w:t>ФГБУ «ЦОК АПК» и отраслевое издание «</w:t>
      </w:r>
      <w:proofErr w:type="spellStart"/>
      <w:r w:rsidRPr="000B2492">
        <w:rPr>
          <w:rFonts w:ascii="Times New Roman" w:hAnsi="Times New Roman" w:cs="Times New Roman"/>
          <w:b/>
          <w:sz w:val="28"/>
        </w:rPr>
        <w:t>Агроэксперт</w:t>
      </w:r>
      <w:proofErr w:type="spellEnd"/>
      <w:r w:rsidRPr="000B2492">
        <w:rPr>
          <w:rFonts w:ascii="Times New Roman" w:hAnsi="Times New Roman" w:cs="Times New Roman"/>
          <w:b/>
          <w:sz w:val="28"/>
        </w:rPr>
        <w:t>» публик</w:t>
      </w:r>
      <w:r>
        <w:rPr>
          <w:rFonts w:ascii="Times New Roman" w:hAnsi="Times New Roman" w:cs="Times New Roman"/>
          <w:b/>
          <w:sz w:val="28"/>
        </w:rPr>
        <w:t>уют</w:t>
      </w:r>
      <w:r w:rsidRPr="000B2492">
        <w:rPr>
          <w:rFonts w:ascii="Times New Roman" w:hAnsi="Times New Roman" w:cs="Times New Roman"/>
          <w:b/>
          <w:sz w:val="28"/>
        </w:rPr>
        <w:t xml:space="preserve"> серию материалов о потенциальных участниках зерновой биржи БРИКС. Южно-Африканская Республика (ЮАР) — один из крупнейших производителей сельскохозяйственной продукции на Африканском континенте. Хотя ЮАР не входит в число мировых зерновых гигантов, ее роль в международной торговле зерном имеет региональное и стратегическое значение.</w:t>
      </w:r>
    </w:p>
    <w:p w:rsidR="003C0F02" w:rsidRPr="007C3D29" w:rsidRDefault="003C0F02" w:rsidP="000B2492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7C3D29">
        <w:rPr>
          <w:rFonts w:ascii="Times New Roman" w:hAnsi="Times New Roman" w:cs="Times New Roman"/>
          <w:b/>
          <w:sz w:val="28"/>
        </w:rPr>
        <w:t>1</w:t>
      </w:r>
      <w:r w:rsidR="008374ED">
        <w:rPr>
          <w:rFonts w:ascii="Times New Roman" w:hAnsi="Times New Roman" w:cs="Times New Roman"/>
          <w:b/>
          <w:sz w:val="28"/>
        </w:rPr>
        <w:t>.</w:t>
      </w:r>
      <w:r w:rsidRPr="007C3D29">
        <w:rPr>
          <w:rFonts w:ascii="Times New Roman" w:hAnsi="Times New Roman" w:cs="Times New Roman"/>
          <w:b/>
          <w:sz w:val="28"/>
        </w:rPr>
        <w:t xml:space="preserve"> </w:t>
      </w:r>
      <w:r w:rsidR="004B3435" w:rsidRPr="007C3D29">
        <w:rPr>
          <w:rFonts w:ascii="Times New Roman" w:hAnsi="Times New Roman" w:cs="Times New Roman"/>
          <w:b/>
          <w:i/>
          <w:sz w:val="28"/>
        </w:rPr>
        <w:t>Общая х</w:t>
      </w:r>
      <w:r w:rsidRPr="007C3D29">
        <w:rPr>
          <w:rFonts w:ascii="Times New Roman" w:hAnsi="Times New Roman" w:cs="Times New Roman"/>
          <w:b/>
          <w:i/>
          <w:sz w:val="28"/>
        </w:rPr>
        <w:t xml:space="preserve">арактеристика </w:t>
      </w:r>
      <w:r w:rsidR="00BD45AA">
        <w:rPr>
          <w:rFonts w:ascii="Times New Roman" w:hAnsi="Times New Roman" w:cs="Times New Roman"/>
          <w:b/>
          <w:i/>
          <w:sz w:val="28"/>
        </w:rPr>
        <w:t>ЮАР</w:t>
      </w:r>
    </w:p>
    <w:p w:rsidR="00466C26" w:rsidRPr="00466C26" w:rsidRDefault="00466C26" w:rsidP="00B27D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6C26">
        <w:rPr>
          <w:rFonts w:ascii="Times New Roman" w:hAnsi="Times New Roman" w:cs="Times New Roman"/>
          <w:sz w:val="28"/>
        </w:rPr>
        <w:t>Южно-Африканская Республика</w:t>
      </w:r>
      <w:r w:rsidR="00BD45AA">
        <w:rPr>
          <w:rFonts w:ascii="Times New Roman" w:hAnsi="Times New Roman" w:cs="Times New Roman"/>
          <w:sz w:val="28"/>
        </w:rPr>
        <w:t xml:space="preserve"> (ЮАР)</w:t>
      </w:r>
      <w:r w:rsidRPr="00466C26">
        <w:rPr>
          <w:rFonts w:ascii="Times New Roman" w:hAnsi="Times New Roman" w:cs="Times New Roman"/>
          <w:sz w:val="28"/>
        </w:rPr>
        <w:t xml:space="preserve"> </w:t>
      </w:r>
      <w:r w:rsidR="000B2492">
        <w:rPr>
          <w:rFonts w:ascii="Times New Roman" w:hAnsi="Times New Roman" w:cs="Times New Roman"/>
          <w:sz w:val="28"/>
        </w:rPr>
        <w:t>–</w:t>
      </w:r>
      <w:r w:rsidRPr="00466C26">
        <w:rPr>
          <w:rFonts w:ascii="Times New Roman" w:hAnsi="Times New Roman" w:cs="Times New Roman"/>
          <w:sz w:val="28"/>
        </w:rPr>
        <w:t xml:space="preserve"> одна из крупнейших и наиболее развитых стран Африки. Её площадь составляет около </w:t>
      </w:r>
      <w:r w:rsidRPr="000B2492">
        <w:rPr>
          <w:rFonts w:ascii="Times New Roman" w:hAnsi="Times New Roman" w:cs="Times New Roman"/>
          <w:bCs/>
          <w:sz w:val="28"/>
        </w:rPr>
        <w:t xml:space="preserve">1,2 млн </w:t>
      </w:r>
      <w:r w:rsidR="000B2492" w:rsidRPr="000B2492">
        <w:rPr>
          <w:rFonts w:ascii="Times New Roman" w:hAnsi="Times New Roman" w:cs="Times New Roman"/>
          <w:bCs/>
          <w:sz w:val="28"/>
        </w:rPr>
        <w:t xml:space="preserve">кв. </w:t>
      </w:r>
      <w:r w:rsidRPr="000B2492">
        <w:rPr>
          <w:rFonts w:ascii="Times New Roman" w:hAnsi="Times New Roman" w:cs="Times New Roman"/>
          <w:bCs/>
          <w:sz w:val="28"/>
        </w:rPr>
        <w:t>км</w:t>
      </w:r>
      <w:r w:rsidRPr="000B2492">
        <w:rPr>
          <w:rFonts w:ascii="Times New Roman" w:hAnsi="Times New Roman" w:cs="Times New Roman"/>
          <w:sz w:val="28"/>
        </w:rPr>
        <w:t>,</w:t>
      </w:r>
      <w:r w:rsidRPr="00466C26">
        <w:rPr>
          <w:rFonts w:ascii="Times New Roman" w:hAnsi="Times New Roman" w:cs="Times New Roman"/>
          <w:sz w:val="28"/>
        </w:rPr>
        <w:t xml:space="preserve"> а чи</w:t>
      </w:r>
      <w:r w:rsidR="00766F84">
        <w:rPr>
          <w:rFonts w:ascii="Times New Roman" w:hAnsi="Times New Roman" w:cs="Times New Roman"/>
          <w:sz w:val="28"/>
        </w:rPr>
        <w:t xml:space="preserve">сленность населения превышает </w:t>
      </w:r>
      <w:r w:rsidR="00766F84" w:rsidRPr="000B2492">
        <w:rPr>
          <w:rFonts w:ascii="Times New Roman" w:hAnsi="Times New Roman" w:cs="Times New Roman"/>
          <w:bCs/>
          <w:sz w:val="28"/>
        </w:rPr>
        <w:t xml:space="preserve">63 </w:t>
      </w:r>
      <w:r w:rsidR="00B27D24" w:rsidRPr="000B2492">
        <w:rPr>
          <w:rFonts w:ascii="Times New Roman" w:hAnsi="Times New Roman" w:cs="Times New Roman"/>
          <w:bCs/>
          <w:sz w:val="28"/>
        </w:rPr>
        <w:t>млн</w:t>
      </w:r>
      <w:r w:rsidRPr="000B2492">
        <w:rPr>
          <w:rFonts w:ascii="Times New Roman" w:hAnsi="Times New Roman" w:cs="Times New Roman"/>
          <w:bCs/>
          <w:sz w:val="28"/>
        </w:rPr>
        <w:t xml:space="preserve"> человек</w:t>
      </w:r>
      <w:r w:rsidRPr="000B2492">
        <w:rPr>
          <w:rFonts w:ascii="Times New Roman" w:hAnsi="Times New Roman" w:cs="Times New Roman"/>
          <w:sz w:val="28"/>
        </w:rPr>
        <w:t>.</w:t>
      </w:r>
      <w:r w:rsidRPr="00466C26">
        <w:rPr>
          <w:rFonts w:ascii="Times New Roman" w:hAnsi="Times New Roman" w:cs="Times New Roman"/>
          <w:sz w:val="28"/>
        </w:rPr>
        <w:t xml:space="preserve"> </w:t>
      </w:r>
      <w:r w:rsidR="0012337E">
        <w:rPr>
          <w:rFonts w:ascii="Times New Roman" w:hAnsi="Times New Roman" w:cs="Times New Roman"/>
          <w:sz w:val="28"/>
        </w:rPr>
        <w:t xml:space="preserve">Государство </w:t>
      </w:r>
      <w:r w:rsidRPr="00466C26">
        <w:rPr>
          <w:rFonts w:ascii="Times New Roman" w:hAnsi="Times New Roman" w:cs="Times New Roman"/>
          <w:sz w:val="28"/>
        </w:rPr>
        <w:t>занимает стратегически важное положение на юге Африканского континента</w:t>
      </w:r>
      <w:r w:rsidR="00E12C10" w:rsidRPr="00E12C10">
        <w:rPr>
          <w:rFonts w:ascii="Times New Roman" w:hAnsi="Times New Roman" w:cs="Times New Roman"/>
          <w:sz w:val="28"/>
        </w:rPr>
        <w:t xml:space="preserve"> </w:t>
      </w:r>
      <w:r w:rsidR="00E12C10">
        <w:rPr>
          <w:rFonts w:ascii="Times New Roman" w:hAnsi="Times New Roman" w:cs="Times New Roman"/>
          <w:sz w:val="28"/>
          <w:lang w:val="en-US"/>
        </w:rPr>
        <w:t>c</w:t>
      </w:r>
      <w:r w:rsidR="00E12C10">
        <w:rPr>
          <w:rFonts w:ascii="Times New Roman" w:hAnsi="Times New Roman" w:cs="Times New Roman"/>
          <w:sz w:val="28"/>
        </w:rPr>
        <w:t xml:space="preserve"> точки зрения экономики, логистики и геополитики</w:t>
      </w:r>
      <w:r w:rsidRPr="00466C26">
        <w:rPr>
          <w:rFonts w:ascii="Times New Roman" w:hAnsi="Times New Roman" w:cs="Times New Roman"/>
          <w:sz w:val="28"/>
        </w:rPr>
        <w:t>.</w:t>
      </w:r>
    </w:p>
    <w:p w:rsidR="00466C26" w:rsidRPr="00466C26" w:rsidRDefault="00466C26" w:rsidP="007F68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6C26">
        <w:rPr>
          <w:rFonts w:ascii="Times New Roman" w:hAnsi="Times New Roman" w:cs="Times New Roman"/>
          <w:sz w:val="28"/>
        </w:rPr>
        <w:t xml:space="preserve">ЮАР отличается разнообразием климатических условий. На западе преобладает засушливый и полупустынный климат, в центральных районах </w:t>
      </w:r>
      <w:r w:rsidR="000B2492">
        <w:rPr>
          <w:rFonts w:ascii="Times New Roman" w:hAnsi="Times New Roman" w:cs="Times New Roman"/>
          <w:sz w:val="28"/>
        </w:rPr>
        <w:t>–</w:t>
      </w:r>
      <w:r w:rsidRPr="00466C26">
        <w:rPr>
          <w:rFonts w:ascii="Times New Roman" w:hAnsi="Times New Roman" w:cs="Times New Roman"/>
          <w:sz w:val="28"/>
        </w:rPr>
        <w:t xml:space="preserve"> степной, а на восточном побережье </w:t>
      </w:r>
      <w:r w:rsidR="000B2492">
        <w:rPr>
          <w:rFonts w:ascii="Times New Roman" w:hAnsi="Times New Roman" w:cs="Times New Roman"/>
          <w:sz w:val="28"/>
        </w:rPr>
        <w:t>–</w:t>
      </w:r>
      <w:r w:rsidRPr="00466C26">
        <w:rPr>
          <w:rFonts w:ascii="Times New Roman" w:hAnsi="Times New Roman" w:cs="Times New Roman"/>
          <w:sz w:val="28"/>
        </w:rPr>
        <w:t xml:space="preserve"> субтропический с тёплым и влажным летом. Разнообразие природных зон и рельефа делает климат в стране весьма неоднородным.</w:t>
      </w:r>
    </w:p>
    <w:p w:rsidR="002C5F3E" w:rsidRDefault="00466C26" w:rsidP="00D252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66C26">
        <w:rPr>
          <w:rFonts w:ascii="Times New Roman" w:hAnsi="Times New Roman" w:cs="Times New Roman"/>
          <w:sz w:val="28"/>
        </w:rPr>
        <w:t xml:space="preserve">Южно-Африканская Республика является членом Южноафриканского таможенного союза (SACU) и Содружества развития Юга Африки (SADC). Эти региональные объединения способствуют экономической интеграции стран южной части континента. Участие </w:t>
      </w:r>
      <w:r w:rsidR="002844C5">
        <w:rPr>
          <w:rFonts w:ascii="Times New Roman" w:hAnsi="Times New Roman" w:cs="Times New Roman"/>
          <w:sz w:val="28"/>
        </w:rPr>
        <w:t xml:space="preserve">ЮАР в этих и других объединениях дает стране </w:t>
      </w:r>
      <w:r w:rsidRPr="00466C26">
        <w:rPr>
          <w:rFonts w:ascii="Times New Roman" w:hAnsi="Times New Roman" w:cs="Times New Roman"/>
          <w:sz w:val="28"/>
        </w:rPr>
        <w:t>дополнительные возможности для развития торговли, укрепления экономических связей с со</w:t>
      </w:r>
      <w:r w:rsidR="00D252DC">
        <w:rPr>
          <w:rFonts w:ascii="Times New Roman" w:hAnsi="Times New Roman" w:cs="Times New Roman"/>
          <w:sz w:val="28"/>
        </w:rPr>
        <w:t>седями и привлечения инвестиций.</w:t>
      </w:r>
    </w:p>
    <w:p w:rsidR="00D252DC" w:rsidRDefault="00CD7FC7" w:rsidP="00CD7FC7">
      <w:pPr>
        <w:spacing w:after="0" w:line="276" w:lineRule="auto"/>
        <w:ind w:firstLine="567"/>
        <w:jc w:val="both"/>
        <w:rPr>
          <w:noProof/>
          <w:lang w:eastAsia="ru-RU"/>
        </w:rPr>
      </w:pPr>
      <w:r w:rsidRPr="00CD7FC7">
        <w:rPr>
          <w:rFonts w:ascii="Times New Roman" w:hAnsi="Times New Roman" w:cs="Times New Roman"/>
          <w:sz w:val="28"/>
        </w:rPr>
        <w:t>Имея одну</w:t>
      </w:r>
      <w:r w:rsidR="007F68D0" w:rsidRPr="00CD7FC7">
        <w:rPr>
          <w:rFonts w:ascii="Times New Roman" w:hAnsi="Times New Roman" w:cs="Times New Roman"/>
          <w:sz w:val="28"/>
        </w:rPr>
        <w:t xml:space="preserve"> из наиболее развитых экономик Африки, Южно-Африканская Республика обладает сильными промышленным, финансовым и горнодобывающим секторами, что делает её важным </w:t>
      </w:r>
      <w:r w:rsidRPr="00CD7FC7">
        <w:rPr>
          <w:rFonts w:ascii="Times New Roman" w:hAnsi="Times New Roman" w:cs="Times New Roman"/>
          <w:sz w:val="28"/>
        </w:rPr>
        <w:t>игроком</w:t>
      </w:r>
      <w:r w:rsidR="007F68D0" w:rsidRPr="00CD7FC7">
        <w:rPr>
          <w:rFonts w:ascii="Times New Roman" w:hAnsi="Times New Roman" w:cs="Times New Roman"/>
          <w:sz w:val="28"/>
        </w:rPr>
        <w:t xml:space="preserve"> на континентальном и глобальном рынках.</w:t>
      </w:r>
      <w:r w:rsidR="007F68D0" w:rsidRPr="007F68D0">
        <w:rPr>
          <w:rFonts w:ascii="Times New Roman" w:hAnsi="Times New Roman" w:cs="Times New Roman"/>
          <w:sz w:val="28"/>
        </w:rPr>
        <w:t xml:space="preserve"> </w:t>
      </w:r>
      <w:r w:rsidR="007768ED">
        <w:rPr>
          <w:rFonts w:ascii="Times New Roman" w:hAnsi="Times New Roman" w:cs="Times New Roman"/>
          <w:sz w:val="28"/>
        </w:rPr>
        <w:t>Тем не менее, э</w:t>
      </w:r>
      <w:r w:rsidR="007F68D0" w:rsidRPr="007F68D0">
        <w:rPr>
          <w:rFonts w:ascii="Times New Roman" w:hAnsi="Times New Roman" w:cs="Times New Roman"/>
          <w:sz w:val="28"/>
        </w:rPr>
        <w:t xml:space="preserve">кономика страны в последние годы </w:t>
      </w:r>
      <w:r w:rsidR="007768ED">
        <w:rPr>
          <w:rFonts w:ascii="Times New Roman" w:hAnsi="Times New Roman" w:cs="Times New Roman"/>
          <w:sz w:val="28"/>
        </w:rPr>
        <w:t>демонстрирует скромные темпы роста в том числе из-за энергетического кризиса и инфраструктурных проблем</w:t>
      </w:r>
      <w:r w:rsidR="007F68D0" w:rsidRPr="007F68D0">
        <w:rPr>
          <w:rFonts w:ascii="Times New Roman" w:hAnsi="Times New Roman" w:cs="Times New Roman"/>
          <w:sz w:val="28"/>
        </w:rPr>
        <w:t>.</w:t>
      </w:r>
      <w:r w:rsidR="00D252DC" w:rsidRPr="00D252DC">
        <w:rPr>
          <w:noProof/>
          <w:lang w:eastAsia="ru-RU"/>
        </w:rPr>
        <w:t xml:space="preserve"> </w:t>
      </w:r>
    </w:p>
    <w:p w:rsidR="007F68D0" w:rsidRPr="007F68D0" w:rsidRDefault="00D252DC" w:rsidP="00D252DC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49D832" wp14:editId="3D23E362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F68D0" w:rsidRDefault="007F68D0" w:rsidP="007768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F68D0">
        <w:rPr>
          <w:rFonts w:ascii="Times New Roman" w:hAnsi="Times New Roman" w:cs="Times New Roman"/>
          <w:sz w:val="28"/>
        </w:rPr>
        <w:t>Согласно данным Всемирного банка, В</w:t>
      </w:r>
      <w:r>
        <w:rPr>
          <w:rFonts w:ascii="Times New Roman" w:hAnsi="Times New Roman" w:cs="Times New Roman"/>
          <w:sz w:val="28"/>
        </w:rPr>
        <w:t>ВП Ю</w:t>
      </w:r>
      <w:r w:rsidR="00B27D24">
        <w:rPr>
          <w:rFonts w:ascii="Times New Roman" w:hAnsi="Times New Roman" w:cs="Times New Roman"/>
          <w:sz w:val="28"/>
        </w:rPr>
        <w:t>жно-Африканской Республики</w:t>
      </w:r>
      <w:r>
        <w:rPr>
          <w:rFonts w:ascii="Times New Roman" w:hAnsi="Times New Roman" w:cs="Times New Roman"/>
          <w:sz w:val="28"/>
        </w:rPr>
        <w:t xml:space="preserve"> в 2020 году составлял 33</w:t>
      </w:r>
      <w:r w:rsidRPr="007F68D0">
        <w:rPr>
          <w:rFonts w:ascii="Times New Roman" w:hAnsi="Times New Roman" w:cs="Times New Roman"/>
          <w:sz w:val="28"/>
        </w:rPr>
        <w:t xml:space="preserve">8 млрд долл. США. </w:t>
      </w:r>
      <w:r w:rsidR="00766F84">
        <w:rPr>
          <w:rFonts w:ascii="Times New Roman" w:hAnsi="Times New Roman" w:cs="Times New Roman"/>
          <w:sz w:val="28"/>
        </w:rPr>
        <w:t>В 2021 году он увеличился до 42</w:t>
      </w:r>
      <w:r w:rsidR="00766F84" w:rsidRPr="00766F84">
        <w:rPr>
          <w:rFonts w:ascii="Times New Roman" w:hAnsi="Times New Roman" w:cs="Times New Roman"/>
          <w:sz w:val="28"/>
        </w:rPr>
        <w:t>1</w:t>
      </w:r>
      <w:r w:rsidRPr="007F68D0">
        <w:rPr>
          <w:rFonts w:ascii="Times New Roman" w:hAnsi="Times New Roman" w:cs="Times New Roman"/>
          <w:sz w:val="28"/>
        </w:rPr>
        <w:t xml:space="preserve"> млрд долл. США, а в 2022 году дост</w:t>
      </w:r>
      <w:r w:rsidR="00766F84">
        <w:rPr>
          <w:rFonts w:ascii="Times New Roman" w:hAnsi="Times New Roman" w:cs="Times New Roman"/>
          <w:sz w:val="28"/>
        </w:rPr>
        <w:t>иг 40</w:t>
      </w:r>
      <w:r w:rsidR="00766F84" w:rsidRPr="00766F84">
        <w:rPr>
          <w:rFonts w:ascii="Times New Roman" w:hAnsi="Times New Roman" w:cs="Times New Roman"/>
          <w:sz w:val="28"/>
        </w:rPr>
        <w:t>7</w:t>
      </w:r>
      <w:r w:rsidRPr="007F68D0">
        <w:rPr>
          <w:rFonts w:ascii="Times New Roman" w:hAnsi="Times New Roman" w:cs="Times New Roman"/>
          <w:sz w:val="28"/>
        </w:rPr>
        <w:t xml:space="preserve"> млрд </w:t>
      </w:r>
      <w:r w:rsidR="002844C5">
        <w:rPr>
          <w:rFonts w:ascii="Times New Roman" w:hAnsi="Times New Roman" w:cs="Times New Roman"/>
          <w:sz w:val="28"/>
        </w:rPr>
        <w:t xml:space="preserve">долл. США. В 2023 </w:t>
      </w:r>
      <w:r w:rsidRPr="007F68D0">
        <w:rPr>
          <w:rFonts w:ascii="Times New Roman" w:hAnsi="Times New Roman" w:cs="Times New Roman"/>
          <w:sz w:val="28"/>
        </w:rPr>
        <w:t xml:space="preserve">валовой внутренний продукт </w:t>
      </w:r>
      <w:r w:rsidR="000427CF">
        <w:rPr>
          <w:rFonts w:ascii="Times New Roman" w:hAnsi="Times New Roman" w:cs="Times New Roman"/>
          <w:sz w:val="28"/>
        </w:rPr>
        <w:t xml:space="preserve">ЮАР </w:t>
      </w:r>
      <w:r w:rsidRPr="007F68D0">
        <w:rPr>
          <w:rFonts w:ascii="Times New Roman" w:hAnsi="Times New Roman" w:cs="Times New Roman"/>
          <w:sz w:val="28"/>
        </w:rPr>
        <w:t>сост</w:t>
      </w:r>
      <w:r w:rsidR="00A3087A">
        <w:rPr>
          <w:rFonts w:ascii="Times New Roman" w:hAnsi="Times New Roman" w:cs="Times New Roman"/>
          <w:sz w:val="28"/>
        </w:rPr>
        <w:t>авил порядка 380,7 млрд долл. США</w:t>
      </w:r>
      <w:r w:rsidRPr="007F68D0">
        <w:rPr>
          <w:rFonts w:ascii="Times New Roman" w:hAnsi="Times New Roman" w:cs="Times New Roman"/>
          <w:sz w:val="28"/>
        </w:rPr>
        <w:t>.</w:t>
      </w:r>
    </w:p>
    <w:p w:rsidR="007F68D0" w:rsidRDefault="007F68D0" w:rsidP="007F68D0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529D8" w:rsidRPr="00C06D71" w:rsidRDefault="004B3435" w:rsidP="00BD45A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06D71">
        <w:rPr>
          <w:rFonts w:ascii="Times New Roman" w:hAnsi="Times New Roman" w:cs="Times New Roman"/>
          <w:b/>
          <w:i/>
          <w:sz w:val="28"/>
        </w:rPr>
        <w:t>2</w:t>
      </w:r>
      <w:r w:rsidR="008374ED">
        <w:rPr>
          <w:rFonts w:ascii="Times New Roman" w:hAnsi="Times New Roman" w:cs="Times New Roman"/>
          <w:b/>
          <w:i/>
          <w:sz w:val="28"/>
        </w:rPr>
        <w:t>.</w:t>
      </w:r>
      <w:r w:rsidR="00B12232" w:rsidRPr="00C06D71">
        <w:rPr>
          <w:rFonts w:ascii="Times New Roman" w:hAnsi="Times New Roman" w:cs="Times New Roman"/>
          <w:b/>
          <w:i/>
          <w:sz w:val="28"/>
        </w:rPr>
        <w:t xml:space="preserve"> Агропромышленный комплекс </w:t>
      </w:r>
      <w:r w:rsidR="00BD45AA">
        <w:rPr>
          <w:rFonts w:ascii="Times New Roman" w:hAnsi="Times New Roman" w:cs="Times New Roman"/>
          <w:b/>
          <w:i/>
          <w:sz w:val="28"/>
        </w:rPr>
        <w:t>ЮАР</w:t>
      </w:r>
    </w:p>
    <w:p w:rsidR="005F7F45" w:rsidRPr="00192F2A" w:rsidRDefault="008D2661" w:rsidP="00CD7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F7F45" w:rsidRPr="00C06D71">
        <w:rPr>
          <w:rFonts w:ascii="Times New Roman" w:hAnsi="Times New Roman" w:cs="Times New Roman"/>
          <w:sz w:val="28"/>
        </w:rPr>
        <w:t xml:space="preserve">лощадь сельскохозяйственных земель в </w:t>
      </w:r>
      <w:r>
        <w:rPr>
          <w:rFonts w:ascii="Times New Roman" w:hAnsi="Times New Roman" w:cs="Times New Roman"/>
          <w:sz w:val="28"/>
        </w:rPr>
        <w:t>ЮАР</w:t>
      </w:r>
      <w:r w:rsidR="005F7F45" w:rsidRPr="00C06D71">
        <w:rPr>
          <w:rFonts w:ascii="Times New Roman" w:hAnsi="Times New Roman" w:cs="Times New Roman"/>
          <w:sz w:val="28"/>
        </w:rPr>
        <w:t xml:space="preserve"> </w:t>
      </w:r>
      <w:r w:rsidR="00CD7FC7">
        <w:rPr>
          <w:rFonts w:ascii="Times New Roman" w:hAnsi="Times New Roman" w:cs="Times New Roman"/>
          <w:sz w:val="28"/>
        </w:rPr>
        <w:t>на момент 2021 г. составляла</w:t>
      </w:r>
      <w:r w:rsidR="005F7F45" w:rsidRPr="00C06D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около</w:t>
      </w:r>
      <w:r w:rsidR="005F7F45" w:rsidRPr="00C06D71">
        <w:rPr>
          <w:rFonts w:ascii="Times New Roman" w:hAnsi="Times New Roman" w:cs="Times New Roman"/>
          <w:sz w:val="28"/>
        </w:rPr>
        <w:t xml:space="preserve"> </w:t>
      </w:r>
      <w:r w:rsidRPr="000B2492">
        <w:rPr>
          <w:rFonts w:ascii="Times New Roman" w:hAnsi="Times New Roman" w:cs="Times New Roman"/>
          <w:sz w:val="28"/>
        </w:rPr>
        <w:t>963,4 тыс.</w:t>
      </w:r>
      <w:r w:rsidR="005F7F45" w:rsidRPr="000B2492">
        <w:rPr>
          <w:rFonts w:ascii="Times New Roman" w:hAnsi="Times New Roman" w:cs="Times New Roman"/>
          <w:sz w:val="28"/>
        </w:rPr>
        <w:t xml:space="preserve"> </w:t>
      </w:r>
      <w:r w:rsidR="000B2492" w:rsidRPr="000B2492">
        <w:rPr>
          <w:rFonts w:ascii="Times New Roman" w:hAnsi="Times New Roman" w:cs="Times New Roman"/>
          <w:sz w:val="28"/>
        </w:rPr>
        <w:t xml:space="preserve">кв. </w:t>
      </w:r>
      <w:r w:rsidR="005F7F45" w:rsidRPr="000B2492">
        <w:rPr>
          <w:rFonts w:ascii="Times New Roman" w:hAnsi="Times New Roman" w:cs="Times New Roman"/>
          <w:sz w:val="28"/>
        </w:rPr>
        <w:t>км</w:t>
      </w:r>
      <w:r w:rsidR="005F7F45" w:rsidRPr="00C06D71">
        <w:rPr>
          <w:rFonts w:ascii="Times New Roman" w:hAnsi="Times New Roman" w:cs="Times New Roman"/>
          <w:sz w:val="28"/>
        </w:rPr>
        <w:t>,</w:t>
      </w:r>
      <w:r w:rsidR="00CD7FC7">
        <w:rPr>
          <w:rFonts w:ascii="Times New Roman" w:hAnsi="Times New Roman" w:cs="Times New Roman"/>
          <w:sz w:val="28"/>
        </w:rPr>
        <w:t xml:space="preserve"> что соответствовало</w:t>
      </w:r>
      <w:r w:rsidR="00433AE6">
        <w:rPr>
          <w:rFonts w:ascii="Times New Roman" w:hAnsi="Times New Roman" w:cs="Times New Roman"/>
          <w:sz w:val="28"/>
        </w:rPr>
        <w:t xml:space="preserve"> примерно 79</w:t>
      </w:r>
      <w:r w:rsidR="005F7F45" w:rsidRPr="00C06D71">
        <w:rPr>
          <w:rFonts w:ascii="Times New Roman" w:hAnsi="Times New Roman" w:cs="Times New Roman"/>
          <w:sz w:val="28"/>
        </w:rPr>
        <w:t xml:space="preserve">% от общей территории страны. </w:t>
      </w:r>
      <w:r w:rsidR="00433AE6" w:rsidRPr="00433AE6">
        <w:rPr>
          <w:rFonts w:ascii="Times New Roman" w:hAnsi="Times New Roman" w:cs="Times New Roman"/>
          <w:sz w:val="28"/>
        </w:rPr>
        <w:t>Однако из-за засушливости климата только 13,5% земель пригодны для выращивания сельскохозяйственных культур, и лишь 3% считаются высокопродуктивными.</w:t>
      </w:r>
      <w:r w:rsidR="00CD7FC7">
        <w:rPr>
          <w:rFonts w:ascii="Times New Roman" w:hAnsi="Times New Roman" w:cs="Times New Roman"/>
          <w:sz w:val="28"/>
        </w:rPr>
        <w:t xml:space="preserve"> По состоянию на 2023 год</w:t>
      </w:r>
      <w:r w:rsidR="00433AE6" w:rsidRPr="00433AE6">
        <w:rPr>
          <w:rFonts w:ascii="Times New Roman" w:hAnsi="Times New Roman" w:cs="Times New Roman"/>
          <w:sz w:val="28"/>
        </w:rPr>
        <w:t xml:space="preserve"> </w:t>
      </w:r>
      <w:r w:rsidR="004E4884">
        <w:rPr>
          <w:rFonts w:ascii="Times New Roman" w:hAnsi="Times New Roman" w:cs="Times New Roman"/>
          <w:sz w:val="28"/>
        </w:rPr>
        <w:t>а</w:t>
      </w:r>
      <w:r w:rsidR="00433AE6" w:rsidRPr="00C06D71">
        <w:rPr>
          <w:rFonts w:ascii="Times New Roman" w:hAnsi="Times New Roman" w:cs="Times New Roman"/>
          <w:sz w:val="28"/>
        </w:rPr>
        <w:t xml:space="preserve">гропромышленный комплекс </w:t>
      </w:r>
      <w:r w:rsidR="00433AE6">
        <w:rPr>
          <w:rFonts w:ascii="Times New Roman" w:hAnsi="Times New Roman" w:cs="Times New Roman"/>
          <w:sz w:val="28"/>
        </w:rPr>
        <w:t>ЮАР</w:t>
      </w:r>
      <w:r w:rsidR="00CD7FC7">
        <w:rPr>
          <w:rFonts w:ascii="Times New Roman" w:hAnsi="Times New Roman" w:cs="Times New Roman"/>
          <w:sz w:val="28"/>
        </w:rPr>
        <w:t xml:space="preserve"> играл</w:t>
      </w:r>
      <w:r w:rsidR="00433AE6" w:rsidRPr="00C06D71">
        <w:rPr>
          <w:rFonts w:ascii="Times New Roman" w:hAnsi="Times New Roman" w:cs="Times New Roman"/>
          <w:sz w:val="28"/>
        </w:rPr>
        <w:t xml:space="preserve"> </w:t>
      </w:r>
      <w:r w:rsidR="00433AE6">
        <w:rPr>
          <w:rFonts w:ascii="Times New Roman" w:hAnsi="Times New Roman" w:cs="Times New Roman"/>
          <w:sz w:val="28"/>
        </w:rPr>
        <w:t>незначительную роль в экономике страны и составля</w:t>
      </w:r>
      <w:r w:rsidR="00333CE4">
        <w:rPr>
          <w:rFonts w:ascii="Times New Roman" w:hAnsi="Times New Roman" w:cs="Times New Roman"/>
          <w:sz w:val="28"/>
        </w:rPr>
        <w:t>л</w:t>
      </w:r>
      <w:r w:rsidR="00433AE6">
        <w:rPr>
          <w:rFonts w:ascii="Times New Roman" w:hAnsi="Times New Roman" w:cs="Times New Roman"/>
          <w:sz w:val="28"/>
        </w:rPr>
        <w:t xml:space="preserve"> </w:t>
      </w:r>
      <w:r w:rsidR="007768ED" w:rsidRPr="000B2492">
        <w:rPr>
          <w:rFonts w:ascii="Times New Roman" w:hAnsi="Times New Roman" w:cs="Times New Roman"/>
          <w:bCs/>
          <w:sz w:val="28"/>
        </w:rPr>
        <w:t>2,</w:t>
      </w:r>
      <w:r w:rsidR="00CD7FC7" w:rsidRPr="000B2492">
        <w:rPr>
          <w:rFonts w:ascii="Times New Roman" w:hAnsi="Times New Roman" w:cs="Times New Roman"/>
          <w:bCs/>
          <w:sz w:val="28"/>
        </w:rPr>
        <w:t>6</w:t>
      </w:r>
      <w:r w:rsidR="00433AE6" w:rsidRPr="000B2492">
        <w:rPr>
          <w:rFonts w:ascii="Times New Roman" w:hAnsi="Times New Roman" w:cs="Times New Roman"/>
          <w:bCs/>
          <w:sz w:val="28"/>
        </w:rPr>
        <w:t>%</w:t>
      </w:r>
      <w:r w:rsidR="00433AE6">
        <w:rPr>
          <w:rFonts w:ascii="Times New Roman" w:hAnsi="Times New Roman" w:cs="Times New Roman"/>
          <w:sz w:val="28"/>
        </w:rPr>
        <w:t xml:space="preserve"> ВВП.</w:t>
      </w:r>
    </w:p>
    <w:p w:rsidR="00543CD6" w:rsidRPr="00543CD6" w:rsidRDefault="00543CD6" w:rsidP="00B82B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543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ЮАР</w:t>
      </w:r>
      <w:r w:rsidRPr="00543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действует</w:t>
      </w:r>
      <w:r w:rsidRPr="00543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биржа</w:t>
      </w:r>
      <w:r w:rsidRPr="00543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срочных</w:t>
      </w:r>
      <w:r w:rsidRPr="00543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контрактов </w:t>
      </w:r>
      <w:r w:rsidRPr="00543CD6">
        <w:rPr>
          <w:rFonts w:ascii="Times New Roman" w:hAnsi="Times New Roman" w:cs="Times New Roman"/>
          <w:sz w:val="28"/>
          <w:lang w:val="en-US"/>
        </w:rPr>
        <w:t>SAFEX</w:t>
      </w:r>
      <w:r w:rsidRPr="00543CD6">
        <w:rPr>
          <w:rFonts w:ascii="Times New Roman" w:hAnsi="Times New Roman" w:cs="Times New Roman"/>
          <w:sz w:val="28"/>
        </w:rPr>
        <w:t xml:space="preserve"> (</w:t>
      </w:r>
      <w:r w:rsidRPr="00543CD6">
        <w:rPr>
          <w:rFonts w:ascii="Times New Roman" w:hAnsi="Times New Roman" w:cs="Times New Roman"/>
          <w:sz w:val="28"/>
          <w:lang w:val="en-US"/>
        </w:rPr>
        <w:t>South</w:t>
      </w:r>
      <w:r w:rsidRPr="00543CD6">
        <w:rPr>
          <w:rFonts w:ascii="Times New Roman" w:hAnsi="Times New Roman" w:cs="Times New Roman"/>
          <w:sz w:val="28"/>
        </w:rPr>
        <w:t xml:space="preserve"> </w:t>
      </w:r>
      <w:r w:rsidRPr="00543CD6">
        <w:rPr>
          <w:rFonts w:ascii="Times New Roman" w:hAnsi="Times New Roman" w:cs="Times New Roman"/>
          <w:sz w:val="28"/>
          <w:lang w:val="en-US"/>
        </w:rPr>
        <w:t>African</w:t>
      </w:r>
      <w:r w:rsidRPr="00543CD6">
        <w:rPr>
          <w:rFonts w:ascii="Times New Roman" w:hAnsi="Times New Roman" w:cs="Times New Roman"/>
          <w:sz w:val="28"/>
        </w:rPr>
        <w:t xml:space="preserve"> </w:t>
      </w:r>
      <w:r w:rsidRPr="00543CD6">
        <w:rPr>
          <w:rFonts w:ascii="Times New Roman" w:hAnsi="Times New Roman" w:cs="Times New Roman"/>
          <w:sz w:val="28"/>
          <w:lang w:val="en-US"/>
        </w:rPr>
        <w:t>Futures</w:t>
      </w:r>
      <w:r w:rsidRPr="00543CD6">
        <w:rPr>
          <w:rFonts w:ascii="Times New Roman" w:hAnsi="Times New Roman" w:cs="Times New Roman"/>
          <w:sz w:val="28"/>
        </w:rPr>
        <w:t xml:space="preserve"> </w:t>
      </w:r>
      <w:r w:rsidRPr="00543CD6">
        <w:rPr>
          <w:rFonts w:ascii="Times New Roman" w:hAnsi="Times New Roman" w:cs="Times New Roman"/>
          <w:sz w:val="28"/>
          <w:lang w:val="en-US"/>
        </w:rPr>
        <w:t>Exchange</w:t>
      </w:r>
      <w:r w:rsidRPr="00543CD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позволяющая </w:t>
      </w:r>
      <w:r w:rsidR="00B82BD6">
        <w:rPr>
          <w:rFonts w:ascii="Times New Roman" w:hAnsi="Times New Roman" w:cs="Times New Roman"/>
          <w:sz w:val="28"/>
        </w:rPr>
        <w:t>торговать фьючерсами и опционами</w:t>
      </w:r>
      <w:r w:rsidR="00B82BD6" w:rsidRPr="00B82BD6">
        <w:rPr>
          <w:rFonts w:ascii="Times New Roman" w:hAnsi="Times New Roman" w:cs="Times New Roman"/>
          <w:sz w:val="28"/>
        </w:rPr>
        <w:t xml:space="preserve"> на сельскохозяйственные товары</w:t>
      </w:r>
      <w:r w:rsidR="00B82BD6">
        <w:rPr>
          <w:rFonts w:ascii="Times New Roman" w:hAnsi="Times New Roman" w:cs="Times New Roman"/>
          <w:sz w:val="28"/>
        </w:rPr>
        <w:t xml:space="preserve">. Биржа </w:t>
      </w:r>
      <w:r w:rsidR="00B82BD6" w:rsidRPr="00B82BD6">
        <w:rPr>
          <w:rFonts w:ascii="Times New Roman" w:hAnsi="Times New Roman" w:cs="Times New Roman"/>
          <w:sz w:val="28"/>
        </w:rPr>
        <w:t xml:space="preserve">предоставляет фермерам, </w:t>
      </w:r>
      <w:r w:rsidR="00B82BD6">
        <w:rPr>
          <w:rFonts w:ascii="Times New Roman" w:hAnsi="Times New Roman" w:cs="Times New Roman"/>
          <w:sz w:val="28"/>
        </w:rPr>
        <w:t>производителям</w:t>
      </w:r>
      <w:r w:rsidR="00B82BD6" w:rsidRPr="00B82BD6">
        <w:rPr>
          <w:rFonts w:ascii="Times New Roman" w:hAnsi="Times New Roman" w:cs="Times New Roman"/>
          <w:sz w:val="28"/>
        </w:rPr>
        <w:t xml:space="preserve"> и экспортёрам эффективны</w:t>
      </w:r>
      <w:r w:rsidR="00B82BD6">
        <w:rPr>
          <w:rFonts w:ascii="Times New Roman" w:hAnsi="Times New Roman" w:cs="Times New Roman"/>
          <w:sz w:val="28"/>
        </w:rPr>
        <w:t xml:space="preserve">й инструмент управления рисками. </w:t>
      </w:r>
      <w:r w:rsidR="00B82BD6" w:rsidRPr="00B82BD6">
        <w:rPr>
          <w:rFonts w:ascii="Times New Roman" w:hAnsi="Times New Roman" w:cs="Times New Roman"/>
          <w:sz w:val="28"/>
        </w:rPr>
        <w:t>За счёт прозрачных и регулируемых механизмов торговли SAFEX помогает снижать спекуляции и повышает доверие участников к рыночным ценам.</w:t>
      </w:r>
    </w:p>
    <w:p w:rsidR="007C6799" w:rsidRDefault="007C6799" w:rsidP="00422E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Основу </w:t>
      </w:r>
      <w:r w:rsidR="004672D8">
        <w:rPr>
          <w:rFonts w:ascii="Times New Roman" w:hAnsi="Times New Roman" w:cs="Times New Roman"/>
          <w:sz w:val="28"/>
        </w:rPr>
        <w:t xml:space="preserve">растениеводства </w:t>
      </w:r>
      <w:r w:rsidR="00333CE4">
        <w:rPr>
          <w:rFonts w:ascii="Times New Roman" w:hAnsi="Times New Roman" w:cs="Times New Roman"/>
          <w:sz w:val="28"/>
        </w:rPr>
        <w:t>в</w:t>
      </w:r>
      <w:r w:rsidR="00C80DD4">
        <w:rPr>
          <w:rFonts w:ascii="Times New Roman" w:hAnsi="Times New Roman" w:cs="Times New Roman"/>
          <w:sz w:val="28"/>
        </w:rPr>
        <w:t xml:space="preserve"> ЮАР </w:t>
      </w:r>
      <w:r w:rsidR="004672D8">
        <w:rPr>
          <w:rFonts w:ascii="Times New Roman" w:hAnsi="Times New Roman" w:cs="Times New Roman"/>
          <w:sz w:val="28"/>
        </w:rPr>
        <w:t xml:space="preserve">составляют </w:t>
      </w:r>
      <w:r w:rsidR="00297467">
        <w:rPr>
          <w:rFonts w:ascii="Times New Roman" w:hAnsi="Times New Roman" w:cs="Times New Roman"/>
          <w:sz w:val="28"/>
        </w:rPr>
        <w:t xml:space="preserve">зерновые, в основном кукуруза, а также </w:t>
      </w:r>
      <w:r w:rsidR="00422E27">
        <w:rPr>
          <w:rFonts w:ascii="Times New Roman" w:hAnsi="Times New Roman" w:cs="Times New Roman"/>
          <w:sz w:val="28"/>
        </w:rPr>
        <w:t xml:space="preserve">сахарный тростник, </w:t>
      </w:r>
      <w:r w:rsidR="00297467">
        <w:rPr>
          <w:rFonts w:ascii="Times New Roman" w:hAnsi="Times New Roman" w:cs="Times New Roman"/>
          <w:sz w:val="28"/>
        </w:rPr>
        <w:t>фрукты</w:t>
      </w:r>
      <w:r w:rsidR="00422E27">
        <w:rPr>
          <w:rFonts w:ascii="Times New Roman" w:hAnsi="Times New Roman" w:cs="Times New Roman"/>
          <w:sz w:val="28"/>
          <w:lang w:bidi="ar-EG"/>
        </w:rPr>
        <w:t xml:space="preserve"> и овощи</w:t>
      </w:r>
      <w:r w:rsidR="00297467">
        <w:rPr>
          <w:rFonts w:ascii="Times New Roman" w:hAnsi="Times New Roman" w:cs="Times New Roman"/>
          <w:sz w:val="28"/>
        </w:rPr>
        <w:t xml:space="preserve">. </w:t>
      </w:r>
      <w:r w:rsidR="00C80DD4">
        <w:rPr>
          <w:rFonts w:ascii="Times New Roman" w:hAnsi="Times New Roman" w:cs="Times New Roman"/>
          <w:sz w:val="28"/>
        </w:rPr>
        <w:t>В области животноводства основными продуктами производства являются коровье молоко, мясо птицы и говядины.</w:t>
      </w:r>
    </w:p>
    <w:p w:rsidR="00F80843" w:rsidRDefault="00543CD6" w:rsidP="00C80D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7FC7">
        <w:rPr>
          <w:rFonts w:ascii="Times New Roman" w:hAnsi="Times New Roman" w:cs="Times New Roman"/>
          <w:sz w:val="28"/>
        </w:rPr>
        <w:t>На данный</w:t>
      </w:r>
      <w:r w:rsidR="004E0924" w:rsidRPr="00D1043E">
        <w:rPr>
          <w:rFonts w:ascii="Times New Roman" w:hAnsi="Times New Roman" w:cs="Times New Roman"/>
          <w:sz w:val="28"/>
        </w:rPr>
        <w:t xml:space="preserve"> </w:t>
      </w:r>
      <w:r w:rsidR="00CD7FC7">
        <w:rPr>
          <w:rFonts w:ascii="Times New Roman" w:hAnsi="Times New Roman" w:cs="Times New Roman"/>
          <w:sz w:val="28"/>
        </w:rPr>
        <w:t xml:space="preserve">момент </w:t>
      </w:r>
      <w:r w:rsidR="004E0924" w:rsidRPr="004E0924">
        <w:rPr>
          <w:rFonts w:ascii="Times New Roman" w:hAnsi="Times New Roman" w:cs="Times New Roman"/>
          <w:sz w:val="28"/>
        </w:rPr>
        <w:t>АПК ЮАР сталкивается с рядом выз</w:t>
      </w:r>
      <w:r w:rsidR="00C80DD4">
        <w:rPr>
          <w:rFonts w:ascii="Times New Roman" w:hAnsi="Times New Roman" w:cs="Times New Roman"/>
          <w:sz w:val="28"/>
        </w:rPr>
        <w:t>овов, включая изменение климата и</w:t>
      </w:r>
      <w:r w:rsidR="004E0924" w:rsidRPr="004E0924">
        <w:rPr>
          <w:rFonts w:ascii="Times New Roman" w:hAnsi="Times New Roman" w:cs="Times New Roman"/>
          <w:sz w:val="28"/>
        </w:rPr>
        <w:t xml:space="preserve"> ограниченные водные ресурсы. Устойчивое развитие </w:t>
      </w:r>
      <w:r w:rsidR="004E0924" w:rsidRPr="004E0924">
        <w:rPr>
          <w:rFonts w:ascii="Times New Roman" w:hAnsi="Times New Roman" w:cs="Times New Roman"/>
          <w:sz w:val="28"/>
        </w:rPr>
        <w:lastRenderedPageBreak/>
        <w:t>сектора требует комплексного подхода, включающего инвестиции в инфраструктуру, образование и поддержку мелких фермеров.</w:t>
      </w:r>
    </w:p>
    <w:p w:rsidR="00FD326C" w:rsidRPr="00C06D71" w:rsidRDefault="002D7237" w:rsidP="000B2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7FC7">
        <w:rPr>
          <w:rFonts w:ascii="Times New Roman" w:hAnsi="Times New Roman" w:cs="Times New Roman"/>
          <w:sz w:val="28"/>
        </w:rPr>
        <w:t xml:space="preserve">Основными рынками сбыта южноафриканской </w:t>
      </w:r>
      <w:proofErr w:type="spellStart"/>
      <w:r w:rsidRPr="00CD7FC7">
        <w:rPr>
          <w:rFonts w:ascii="Times New Roman" w:hAnsi="Times New Roman" w:cs="Times New Roman"/>
          <w:sz w:val="28"/>
        </w:rPr>
        <w:t>агропродукции</w:t>
      </w:r>
      <w:proofErr w:type="spellEnd"/>
      <w:r w:rsidRPr="00CD7FC7">
        <w:rPr>
          <w:rFonts w:ascii="Times New Roman" w:hAnsi="Times New Roman" w:cs="Times New Roman"/>
          <w:sz w:val="28"/>
        </w:rPr>
        <w:t xml:space="preserve"> являются </w:t>
      </w:r>
      <w:r w:rsidR="00D53C90" w:rsidRPr="00CD7FC7">
        <w:rPr>
          <w:rFonts w:ascii="Times New Roman" w:hAnsi="Times New Roman" w:cs="Times New Roman"/>
          <w:sz w:val="28"/>
        </w:rPr>
        <w:t xml:space="preserve">Нидерланды, Великобритания, Ботсвана, </w:t>
      </w:r>
      <w:r w:rsidR="00B27D24" w:rsidRPr="00CD7FC7">
        <w:rPr>
          <w:rFonts w:ascii="Times New Roman" w:hAnsi="Times New Roman" w:cs="Times New Roman"/>
          <w:sz w:val="28"/>
        </w:rPr>
        <w:t>Намибия</w:t>
      </w:r>
      <w:r w:rsidR="00D53C90" w:rsidRPr="00CD7FC7">
        <w:rPr>
          <w:rFonts w:ascii="Times New Roman" w:hAnsi="Times New Roman" w:cs="Times New Roman"/>
          <w:sz w:val="28"/>
        </w:rPr>
        <w:t>, Мозамбик, Зимбабве</w:t>
      </w:r>
      <w:r w:rsidRPr="00CD7FC7">
        <w:rPr>
          <w:rFonts w:ascii="Times New Roman" w:hAnsi="Times New Roman" w:cs="Times New Roman"/>
          <w:sz w:val="28"/>
        </w:rPr>
        <w:t>.</w:t>
      </w:r>
    </w:p>
    <w:p w:rsidR="00F80843" w:rsidRPr="00C06D71" w:rsidRDefault="00F80843" w:rsidP="00D623A3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06D71">
        <w:rPr>
          <w:rFonts w:ascii="Times New Roman" w:hAnsi="Times New Roman" w:cs="Times New Roman"/>
          <w:b/>
          <w:i/>
          <w:sz w:val="28"/>
        </w:rPr>
        <w:t>3</w:t>
      </w:r>
      <w:r w:rsidR="008374ED">
        <w:rPr>
          <w:rFonts w:ascii="Times New Roman" w:hAnsi="Times New Roman" w:cs="Times New Roman"/>
          <w:b/>
          <w:i/>
          <w:sz w:val="28"/>
        </w:rPr>
        <w:t>.</w:t>
      </w:r>
      <w:r w:rsidRPr="00C06D71">
        <w:rPr>
          <w:rFonts w:ascii="Times New Roman" w:hAnsi="Times New Roman" w:cs="Times New Roman"/>
          <w:b/>
          <w:i/>
          <w:sz w:val="28"/>
        </w:rPr>
        <w:t xml:space="preserve"> Зерновой рынок</w:t>
      </w:r>
      <w:r w:rsidR="007C3D29">
        <w:rPr>
          <w:rFonts w:ascii="Times New Roman" w:hAnsi="Times New Roman" w:cs="Times New Roman"/>
          <w:b/>
          <w:i/>
          <w:sz w:val="28"/>
        </w:rPr>
        <w:t xml:space="preserve"> </w:t>
      </w:r>
      <w:r w:rsidR="00D623A3">
        <w:rPr>
          <w:rFonts w:ascii="Times New Roman" w:hAnsi="Times New Roman" w:cs="Times New Roman"/>
          <w:b/>
          <w:i/>
          <w:sz w:val="28"/>
        </w:rPr>
        <w:t>ЮАР</w:t>
      </w:r>
    </w:p>
    <w:p w:rsidR="00A20D07" w:rsidRDefault="0071284D" w:rsidP="00A20D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7FC7">
        <w:rPr>
          <w:rFonts w:ascii="Times New Roman" w:hAnsi="Times New Roman" w:cs="Times New Roman"/>
          <w:sz w:val="28"/>
        </w:rPr>
        <w:t>ЮАР в силу климатических особенностей нельзя назвать крупн</w:t>
      </w:r>
      <w:r w:rsidR="00333CE4">
        <w:rPr>
          <w:rFonts w:ascii="Times New Roman" w:hAnsi="Times New Roman" w:cs="Times New Roman"/>
          <w:sz w:val="28"/>
        </w:rPr>
        <w:t>ы</w:t>
      </w:r>
      <w:r w:rsidRPr="00CD7FC7">
        <w:rPr>
          <w:rFonts w:ascii="Times New Roman" w:hAnsi="Times New Roman" w:cs="Times New Roman"/>
          <w:sz w:val="28"/>
        </w:rPr>
        <w:t xml:space="preserve">м </w:t>
      </w:r>
      <w:r w:rsidR="00A20D07" w:rsidRPr="00CD7FC7">
        <w:rPr>
          <w:rFonts w:ascii="Times New Roman" w:hAnsi="Times New Roman" w:cs="Times New Roman"/>
          <w:sz w:val="28"/>
        </w:rPr>
        <w:t>игроком на международном зерновом рынке</w:t>
      </w:r>
      <w:r w:rsidRPr="00CD7FC7">
        <w:rPr>
          <w:rFonts w:ascii="Times New Roman" w:hAnsi="Times New Roman" w:cs="Times New Roman"/>
          <w:sz w:val="28"/>
        </w:rPr>
        <w:t xml:space="preserve">. Тем не менее, страна </w:t>
      </w:r>
      <w:r w:rsidR="00A20D07" w:rsidRPr="00CD7FC7">
        <w:rPr>
          <w:rFonts w:ascii="Times New Roman" w:hAnsi="Times New Roman" w:cs="Times New Roman"/>
          <w:sz w:val="28"/>
        </w:rPr>
        <w:t>использует пригодные земли для выращивания некоторых видов зерновых и масличных культур.</w:t>
      </w:r>
    </w:p>
    <w:p w:rsidR="00DC036C" w:rsidRPr="00C06D71" w:rsidRDefault="00762E3F" w:rsidP="00967F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Самыми выращиваемыми </w:t>
      </w:r>
      <w:r w:rsidR="00A20D07">
        <w:rPr>
          <w:rFonts w:ascii="Times New Roman" w:hAnsi="Times New Roman" w:cs="Times New Roman"/>
          <w:sz w:val="28"/>
        </w:rPr>
        <w:t>культур</w:t>
      </w:r>
      <w:r w:rsidR="00D1043E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 в 2023/24 </w:t>
      </w:r>
      <w:r w:rsidRPr="00C06D71">
        <w:rPr>
          <w:rFonts w:ascii="Times New Roman" w:hAnsi="Times New Roman" w:cs="Times New Roman"/>
          <w:sz w:val="28"/>
          <w:lang w:val="es-ES"/>
        </w:rPr>
        <w:t>c</w:t>
      </w:r>
      <w:r w:rsidRPr="00C06D71">
        <w:rPr>
          <w:rFonts w:ascii="Times New Roman" w:hAnsi="Times New Roman" w:cs="Times New Roman"/>
          <w:sz w:val="28"/>
        </w:rPr>
        <w:t>.-х. году</w:t>
      </w:r>
      <w:r w:rsidR="00CE6875">
        <w:rPr>
          <w:rFonts w:ascii="Times New Roman" w:hAnsi="Times New Roman" w:cs="Times New Roman"/>
          <w:sz w:val="28"/>
        </w:rPr>
        <w:t xml:space="preserve"> стали </w:t>
      </w:r>
      <w:r w:rsidR="00CE6875" w:rsidRPr="000B2492">
        <w:rPr>
          <w:rFonts w:ascii="Times New Roman" w:hAnsi="Times New Roman" w:cs="Times New Roman"/>
          <w:bCs/>
          <w:sz w:val="28"/>
        </w:rPr>
        <w:t>кукуруза</w:t>
      </w:r>
      <w:r w:rsidR="00CE6875" w:rsidRPr="000B2492">
        <w:rPr>
          <w:rFonts w:ascii="Times New Roman" w:hAnsi="Times New Roman" w:cs="Times New Roman"/>
          <w:sz w:val="28"/>
        </w:rPr>
        <w:t xml:space="preserve"> </w:t>
      </w:r>
      <w:r w:rsidR="00CE6875" w:rsidRPr="000B2492">
        <w:rPr>
          <w:rFonts w:ascii="Times New Roman" w:hAnsi="Times New Roman" w:cs="Times New Roman"/>
          <w:bCs/>
          <w:sz w:val="28"/>
        </w:rPr>
        <w:t>(13,4 млн т</w:t>
      </w:r>
      <w:r w:rsidR="00D159DD" w:rsidRPr="000B2492">
        <w:rPr>
          <w:rFonts w:ascii="Times New Roman" w:hAnsi="Times New Roman" w:cs="Times New Roman"/>
          <w:bCs/>
          <w:sz w:val="28"/>
        </w:rPr>
        <w:t>онн</w:t>
      </w:r>
      <w:r w:rsidR="00CE6875" w:rsidRPr="000B2492">
        <w:rPr>
          <w:rFonts w:ascii="Times New Roman" w:hAnsi="Times New Roman" w:cs="Times New Roman"/>
          <w:bCs/>
          <w:sz w:val="28"/>
        </w:rPr>
        <w:t>),</w:t>
      </w:r>
      <w:r w:rsidR="00CE6875" w:rsidRPr="000B2492">
        <w:rPr>
          <w:rFonts w:ascii="Times New Roman" w:hAnsi="Times New Roman" w:cs="Times New Roman"/>
          <w:sz w:val="28"/>
        </w:rPr>
        <w:t xml:space="preserve"> </w:t>
      </w:r>
      <w:r w:rsidR="00CE6875" w:rsidRPr="000B2492">
        <w:rPr>
          <w:rFonts w:ascii="Times New Roman" w:hAnsi="Times New Roman" w:cs="Times New Roman"/>
          <w:bCs/>
          <w:sz w:val="28"/>
        </w:rPr>
        <w:t>пшеница</w:t>
      </w:r>
      <w:r w:rsidR="00CE6875" w:rsidRPr="000B2492">
        <w:rPr>
          <w:rFonts w:ascii="Times New Roman" w:hAnsi="Times New Roman" w:cs="Times New Roman"/>
          <w:sz w:val="28"/>
        </w:rPr>
        <w:t xml:space="preserve"> </w:t>
      </w:r>
      <w:r w:rsidR="00CE6875" w:rsidRPr="000B2492">
        <w:rPr>
          <w:rFonts w:ascii="Times New Roman" w:hAnsi="Times New Roman" w:cs="Times New Roman"/>
          <w:bCs/>
          <w:sz w:val="28"/>
        </w:rPr>
        <w:t>(2,05 млн т</w:t>
      </w:r>
      <w:r w:rsidR="00D159DD" w:rsidRPr="000B2492">
        <w:rPr>
          <w:rFonts w:ascii="Times New Roman" w:hAnsi="Times New Roman" w:cs="Times New Roman"/>
          <w:bCs/>
          <w:sz w:val="28"/>
        </w:rPr>
        <w:t>онн</w:t>
      </w:r>
      <w:r w:rsidR="00CE6875" w:rsidRPr="000B2492">
        <w:rPr>
          <w:rFonts w:ascii="Times New Roman" w:hAnsi="Times New Roman" w:cs="Times New Roman"/>
          <w:bCs/>
          <w:sz w:val="28"/>
        </w:rPr>
        <w:t>)</w:t>
      </w:r>
      <w:r w:rsidR="00D623A3" w:rsidRPr="000B2492">
        <w:rPr>
          <w:rFonts w:ascii="Times New Roman" w:hAnsi="Times New Roman" w:cs="Times New Roman"/>
          <w:sz w:val="28"/>
        </w:rPr>
        <w:t xml:space="preserve"> и </w:t>
      </w:r>
      <w:r w:rsidR="00D623A3" w:rsidRPr="000B2492">
        <w:rPr>
          <w:rFonts w:ascii="Times New Roman" w:hAnsi="Times New Roman" w:cs="Times New Roman"/>
          <w:bCs/>
          <w:sz w:val="28"/>
        </w:rPr>
        <w:t>соя</w:t>
      </w:r>
      <w:r w:rsidR="00D623A3" w:rsidRPr="000B2492">
        <w:rPr>
          <w:rFonts w:ascii="Times New Roman" w:hAnsi="Times New Roman" w:cs="Times New Roman"/>
          <w:sz w:val="28"/>
        </w:rPr>
        <w:t xml:space="preserve"> </w:t>
      </w:r>
      <w:r w:rsidR="00D623A3" w:rsidRPr="000B2492">
        <w:rPr>
          <w:rFonts w:ascii="Times New Roman" w:hAnsi="Times New Roman" w:cs="Times New Roman"/>
          <w:bCs/>
          <w:sz w:val="28"/>
        </w:rPr>
        <w:t>(1,8 млн т</w:t>
      </w:r>
      <w:r w:rsidR="00D159DD" w:rsidRPr="000B2492">
        <w:rPr>
          <w:rFonts w:ascii="Times New Roman" w:hAnsi="Times New Roman" w:cs="Times New Roman"/>
          <w:bCs/>
          <w:sz w:val="28"/>
        </w:rPr>
        <w:t>онн</w:t>
      </w:r>
      <w:r w:rsidR="00D623A3" w:rsidRPr="000B2492">
        <w:rPr>
          <w:rFonts w:ascii="Times New Roman" w:hAnsi="Times New Roman" w:cs="Times New Roman"/>
          <w:bCs/>
          <w:sz w:val="28"/>
        </w:rPr>
        <w:t>)</w:t>
      </w:r>
      <w:r w:rsidR="00D623A3" w:rsidRPr="000B2492">
        <w:rPr>
          <w:rFonts w:ascii="Times New Roman" w:hAnsi="Times New Roman" w:cs="Times New Roman"/>
          <w:sz w:val="28"/>
        </w:rPr>
        <w:t xml:space="preserve">. По </w:t>
      </w:r>
      <w:r w:rsidR="00D623A3">
        <w:rPr>
          <w:rFonts w:ascii="Times New Roman" w:hAnsi="Times New Roman" w:cs="Times New Roman"/>
          <w:sz w:val="28"/>
        </w:rPr>
        <w:t>прогнозам МСХ США,</w:t>
      </w:r>
      <w:r w:rsidR="00D623A3" w:rsidRPr="00C06D71">
        <w:rPr>
          <w:rFonts w:ascii="Times New Roman" w:hAnsi="Times New Roman" w:cs="Times New Roman"/>
          <w:sz w:val="28"/>
        </w:rPr>
        <w:t xml:space="preserve"> </w:t>
      </w:r>
      <w:r w:rsidR="00D623A3">
        <w:rPr>
          <w:rFonts w:ascii="Times New Roman" w:hAnsi="Times New Roman" w:cs="Times New Roman"/>
          <w:sz w:val="28"/>
        </w:rPr>
        <w:t xml:space="preserve">в </w:t>
      </w:r>
      <w:r w:rsidR="00D623A3" w:rsidRPr="00C06D71">
        <w:rPr>
          <w:rFonts w:ascii="Times New Roman" w:hAnsi="Times New Roman" w:cs="Times New Roman"/>
          <w:sz w:val="28"/>
        </w:rPr>
        <w:t xml:space="preserve">текущем сезоне ожидается увеличение объемов производства </w:t>
      </w:r>
      <w:r w:rsidR="00D623A3">
        <w:rPr>
          <w:rFonts w:ascii="Times New Roman" w:hAnsi="Times New Roman" w:cs="Times New Roman"/>
          <w:sz w:val="28"/>
        </w:rPr>
        <w:t xml:space="preserve">кукурузы </w:t>
      </w:r>
      <w:r w:rsidR="00CD7FC7">
        <w:rPr>
          <w:rFonts w:ascii="Times New Roman" w:hAnsi="Times New Roman" w:cs="Times New Roman"/>
          <w:sz w:val="28"/>
        </w:rPr>
        <w:t>на 19,4</w:t>
      </w:r>
      <w:r w:rsidR="00DC036C">
        <w:rPr>
          <w:rFonts w:ascii="Times New Roman" w:hAnsi="Times New Roman" w:cs="Times New Roman"/>
          <w:sz w:val="28"/>
        </w:rPr>
        <w:t>% до 16 млн т</w:t>
      </w:r>
      <w:r w:rsidR="00D159DD">
        <w:rPr>
          <w:rFonts w:ascii="Times New Roman" w:hAnsi="Times New Roman" w:cs="Times New Roman"/>
          <w:sz w:val="28"/>
        </w:rPr>
        <w:t>онн</w:t>
      </w:r>
      <w:r w:rsidR="00DC036C">
        <w:rPr>
          <w:rFonts w:ascii="Times New Roman" w:hAnsi="Times New Roman" w:cs="Times New Roman"/>
          <w:sz w:val="28"/>
        </w:rPr>
        <w:t xml:space="preserve"> и сои на </w:t>
      </w:r>
      <w:r w:rsidR="00CD7FC7" w:rsidRPr="00CD7FC7">
        <w:rPr>
          <w:rFonts w:ascii="Times New Roman" w:hAnsi="Times New Roman" w:cs="Times New Roman"/>
          <w:sz w:val="28"/>
        </w:rPr>
        <w:t>33,3</w:t>
      </w:r>
      <w:r w:rsidR="00DC036C" w:rsidRPr="00CD7FC7">
        <w:rPr>
          <w:rFonts w:ascii="Times New Roman" w:hAnsi="Times New Roman" w:cs="Times New Roman"/>
          <w:sz w:val="28"/>
        </w:rPr>
        <w:t xml:space="preserve">% </w:t>
      </w:r>
      <w:r w:rsidR="00CD7FC7" w:rsidRPr="00CD7FC7">
        <w:rPr>
          <w:rFonts w:ascii="Times New Roman" w:hAnsi="Times New Roman" w:cs="Times New Roman"/>
          <w:sz w:val="28"/>
        </w:rPr>
        <w:t>до 2,4</w:t>
      </w:r>
      <w:r w:rsidR="00D1043E" w:rsidRPr="00CD7FC7">
        <w:rPr>
          <w:rFonts w:ascii="Times New Roman" w:hAnsi="Times New Roman" w:cs="Times New Roman"/>
          <w:sz w:val="28"/>
        </w:rPr>
        <w:t xml:space="preserve"> </w:t>
      </w:r>
      <w:r w:rsidR="00DC036C">
        <w:rPr>
          <w:rFonts w:ascii="Times New Roman" w:hAnsi="Times New Roman" w:cs="Times New Roman"/>
          <w:sz w:val="28"/>
        </w:rPr>
        <w:t>млн т</w:t>
      </w:r>
      <w:r w:rsidR="00D159DD">
        <w:rPr>
          <w:rFonts w:ascii="Times New Roman" w:hAnsi="Times New Roman" w:cs="Times New Roman"/>
          <w:sz w:val="28"/>
        </w:rPr>
        <w:t>онн</w:t>
      </w:r>
      <w:r w:rsidR="00DC036C">
        <w:rPr>
          <w:rFonts w:ascii="Times New Roman" w:hAnsi="Times New Roman" w:cs="Times New Roman"/>
          <w:sz w:val="28"/>
        </w:rPr>
        <w:t>. При этом ожидается сокращение валового сбора пшеницы на 6,1% до 1,93 млн т</w:t>
      </w:r>
      <w:r w:rsidR="00D159DD">
        <w:rPr>
          <w:rFonts w:ascii="Times New Roman" w:hAnsi="Times New Roman" w:cs="Times New Roman"/>
          <w:sz w:val="28"/>
        </w:rPr>
        <w:t>онн</w:t>
      </w:r>
      <w:r w:rsidR="00DC036C">
        <w:rPr>
          <w:rFonts w:ascii="Times New Roman" w:hAnsi="Times New Roman" w:cs="Times New Roman"/>
          <w:sz w:val="28"/>
        </w:rPr>
        <w:t>.</w:t>
      </w:r>
    </w:p>
    <w:p w:rsidR="003D43B1" w:rsidRDefault="00333CE4" w:rsidP="00EC35F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Существующие о</w:t>
      </w:r>
      <w:r w:rsidR="00A20D07">
        <w:rPr>
          <w:rFonts w:ascii="Times New Roman" w:hAnsi="Times New Roman" w:cs="Times New Roman"/>
          <w:sz w:val="28"/>
        </w:rPr>
        <w:t>бъемы производства позволяют ЮАР почти полностью обеспечивать внутренний спрос на кукурузу</w:t>
      </w:r>
      <w:r w:rsidR="00C110DD">
        <w:rPr>
          <w:rFonts w:ascii="Times New Roman" w:hAnsi="Times New Roman" w:cs="Times New Roman"/>
          <w:sz w:val="28"/>
        </w:rPr>
        <w:t xml:space="preserve"> (13,7 млн тонн в 2023/24 с.-х. году)</w:t>
      </w:r>
      <w:r w:rsidR="00A20D07">
        <w:rPr>
          <w:rFonts w:ascii="Times New Roman" w:hAnsi="Times New Roman" w:cs="Times New Roman"/>
          <w:sz w:val="28"/>
        </w:rPr>
        <w:t xml:space="preserve"> и сою</w:t>
      </w:r>
      <w:r w:rsidR="00C110DD">
        <w:rPr>
          <w:rFonts w:ascii="Times New Roman" w:hAnsi="Times New Roman" w:cs="Times New Roman"/>
          <w:sz w:val="28"/>
        </w:rPr>
        <w:t xml:space="preserve"> (2 млн тонн в 2023/24 с.-х. году)</w:t>
      </w:r>
      <w:r w:rsidR="00A20D07">
        <w:rPr>
          <w:rFonts w:ascii="Times New Roman" w:hAnsi="Times New Roman" w:cs="Times New Roman"/>
          <w:sz w:val="28"/>
        </w:rPr>
        <w:t xml:space="preserve">, а также </w:t>
      </w:r>
      <w:r w:rsidR="00C110DD">
        <w:rPr>
          <w:rFonts w:ascii="Times New Roman" w:hAnsi="Times New Roman" w:cs="Times New Roman"/>
          <w:sz w:val="28"/>
        </w:rPr>
        <w:t>осуществлять поставки своей продукции на внешние рынки.</w:t>
      </w:r>
    </w:p>
    <w:p w:rsidR="00EC35F6" w:rsidRDefault="00EC35F6" w:rsidP="00EC35F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6F1C51E" wp14:editId="1F43DAEC">
            <wp:extent cx="5909094" cy="3720222"/>
            <wp:effectExtent l="0" t="0" r="15875" b="139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7F9A" w:rsidRDefault="00647F9A" w:rsidP="00F12E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ar-EG"/>
        </w:rPr>
      </w:pPr>
      <w:r w:rsidRPr="00647F9A">
        <w:rPr>
          <w:rFonts w:ascii="Times New Roman" w:hAnsi="Times New Roman" w:cs="Times New Roman"/>
          <w:sz w:val="28"/>
        </w:rPr>
        <w:t xml:space="preserve">По данным информационно-статистического ресурса </w:t>
      </w:r>
      <w:r w:rsidRPr="00647F9A">
        <w:rPr>
          <w:rFonts w:ascii="Times New Roman" w:hAnsi="Times New Roman" w:cs="Times New Roman"/>
          <w:sz w:val="28"/>
          <w:lang w:val="en-US"/>
        </w:rPr>
        <w:t>ITC</w:t>
      </w:r>
      <w:r w:rsidRPr="00647F9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bidi="ar-EG"/>
        </w:rPr>
        <w:t>в 2024 году</w:t>
      </w:r>
      <w:r w:rsidRPr="00647F9A">
        <w:rPr>
          <w:rFonts w:ascii="Times New Roman" w:hAnsi="Times New Roman" w:cs="Times New Roman"/>
          <w:sz w:val="28"/>
        </w:rPr>
        <w:t xml:space="preserve"> </w:t>
      </w:r>
      <w:r w:rsidRPr="00647F9A">
        <w:rPr>
          <w:rFonts w:ascii="Times New Roman" w:hAnsi="Times New Roman" w:cs="Times New Roman"/>
          <w:sz w:val="28"/>
          <w:lang w:bidi="ar-EG"/>
        </w:rPr>
        <w:t>ЮАР</w:t>
      </w:r>
      <w:r>
        <w:rPr>
          <w:rFonts w:ascii="Times New Roman" w:hAnsi="Times New Roman" w:cs="Times New Roman"/>
          <w:sz w:val="28"/>
          <w:lang w:bidi="ar-EG"/>
        </w:rPr>
        <w:t xml:space="preserve"> экспортировала</w:t>
      </w:r>
      <w:r w:rsidR="00CA7D57">
        <w:rPr>
          <w:rFonts w:ascii="Times New Roman" w:hAnsi="Times New Roman" w:cs="Times New Roman"/>
          <w:sz w:val="28"/>
          <w:lang w:bidi="ar-EG"/>
        </w:rPr>
        <w:t xml:space="preserve"> 2,8 млн т</w:t>
      </w:r>
      <w:r w:rsidR="00D159DD">
        <w:rPr>
          <w:rFonts w:ascii="Times New Roman" w:hAnsi="Times New Roman" w:cs="Times New Roman"/>
          <w:sz w:val="28"/>
          <w:lang w:bidi="ar-EG"/>
        </w:rPr>
        <w:t>онн</w:t>
      </w:r>
      <w:r w:rsidR="00CA7D57">
        <w:rPr>
          <w:rFonts w:ascii="Times New Roman" w:hAnsi="Times New Roman" w:cs="Times New Roman"/>
          <w:sz w:val="28"/>
          <w:lang w:bidi="ar-EG"/>
        </w:rPr>
        <w:t xml:space="preserve"> кукурузы. Основными </w:t>
      </w:r>
      <w:r w:rsidR="00F12E75">
        <w:rPr>
          <w:rFonts w:ascii="Times New Roman" w:hAnsi="Times New Roman" w:cs="Times New Roman"/>
          <w:sz w:val="28"/>
          <w:lang w:bidi="ar-EG"/>
        </w:rPr>
        <w:t>импортерами</w:t>
      </w:r>
      <w:r w:rsidR="00CA7D57">
        <w:rPr>
          <w:rFonts w:ascii="Times New Roman" w:hAnsi="Times New Roman" w:cs="Times New Roman"/>
          <w:sz w:val="28"/>
          <w:lang w:bidi="ar-EG"/>
        </w:rPr>
        <w:t xml:space="preserve"> стали Зимбабве (1,6 млн т</w:t>
      </w:r>
      <w:r w:rsidR="00D159DD">
        <w:rPr>
          <w:rFonts w:ascii="Times New Roman" w:hAnsi="Times New Roman" w:cs="Times New Roman"/>
          <w:sz w:val="28"/>
          <w:lang w:bidi="ar-EG"/>
        </w:rPr>
        <w:t>онн</w:t>
      </w:r>
      <w:r w:rsidR="00CA7D57">
        <w:rPr>
          <w:rFonts w:ascii="Times New Roman" w:hAnsi="Times New Roman" w:cs="Times New Roman"/>
          <w:sz w:val="28"/>
          <w:lang w:bidi="ar-EG"/>
        </w:rPr>
        <w:t>), Ботсвана (344 тыс. т</w:t>
      </w:r>
      <w:r w:rsidR="00D159DD">
        <w:rPr>
          <w:rFonts w:ascii="Times New Roman" w:hAnsi="Times New Roman" w:cs="Times New Roman"/>
          <w:sz w:val="28"/>
          <w:lang w:bidi="ar-EG"/>
        </w:rPr>
        <w:t>онн</w:t>
      </w:r>
      <w:r w:rsidR="00CA7D57">
        <w:rPr>
          <w:rFonts w:ascii="Times New Roman" w:hAnsi="Times New Roman" w:cs="Times New Roman"/>
          <w:sz w:val="28"/>
          <w:lang w:bidi="ar-EG"/>
        </w:rPr>
        <w:t>), Намибия (322 тыс. т</w:t>
      </w:r>
      <w:r w:rsidR="00D159DD">
        <w:rPr>
          <w:rFonts w:ascii="Times New Roman" w:hAnsi="Times New Roman" w:cs="Times New Roman"/>
          <w:sz w:val="28"/>
          <w:lang w:bidi="ar-EG"/>
        </w:rPr>
        <w:t>онн</w:t>
      </w:r>
      <w:r w:rsidR="00CA7D57">
        <w:rPr>
          <w:rFonts w:ascii="Times New Roman" w:hAnsi="Times New Roman" w:cs="Times New Roman"/>
          <w:sz w:val="28"/>
          <w:lang w:bidi="ar-EG"/>
        </w:rPr>
        <w:t>), Мозамбик (190 тыс. т</w:t>
      </w:r>
      <w:r w:rsidR="00D159DD">
        <w:rPr>
          <w:rFonts w:ascii="Times New Roman" w:hAnsi="Times New Roman" w:cs="Times New Roman"/>
          <w:sz w:val="28"/>
          <w:lang w:bidi="ar-EG"/>
        </w:rPr>
        <w:t>онн</w:t>
      </w:r>
      <w:r w:rsidR="00CA7D57">
        <w:rPr>
          <w:rFonts w:ascii="Times New Roman" w:hAnsi="Times New Roman" w:cs="Times New Roman"/>
          <w:sz w:val="28"/>
          <w:lang w:bidi="ar-EG"/>
        </w:rPr>
        <w:t xml:space="preserve">), </w:t>
      </w:r>
      <w:proofErr w:type="spellStart"/>
      <w:r w:rsidR="00CA7D57">
        <w:rPr>
          <w:rFonts w:ascii="Times New Roman" w:hAnsi="Times New Roman" w:cs="Times New Roman"/>
          <w:sz w:val="28"/>
          <w:lang w:bidi="ar-EG"/>
        </w:rPr>
        <w:t>Эсватини</w:t>
      </w:r>
      <w:proofErr w:type="spellEnd"/>
      <w:r w:rsidR="00D159DD">
        <w:rPr>
          <w:rFonts w:ascii="Times New Roman" w:hAnsi="Times New Roman" w:cs="Times New Roman"/>
          <w:sz w:val="28"/>
          <w:lang w:bidi="ar-EG"/>
        </w:rPr>
        <w:t xml:space="preserve"> (178 тыс. тонн), Лесото (104 тыс. тонн) и др.</w:t>
      </w:r>
    </w:p>
    <w:p w:rsidR="00EC35F6" w:rsidRDefault="00EC35F6" w:rsidP="00EC35F6">
      <w:pPr>
        <w:spacing w:after="0" w:line="276" w:lineRule="auto"/>
        <w:jc w:val="center"/>
        <w:rPr>
          <w:rFonts w:ascii="Times New Roman" w:hAnsi="Times New Roman" w:cs="Times New Roman"/>
          <w:sz w:val="28"/>
          <w:lang w:bidi="ar-EG"/>
        </w:rPr>
      </w:pPr>
      <w:r>
        <w:rPr>
          <w:noProof/>
          <w:lang w:eastAsia="ru-RU"/>
        </w:rPr>
        <w:lastRenderedPageBreak/>
        <w:drawing>
          <wp:inline distT="0" distB="0" distL="0" distR="0" wp14:anchorId="4AE99FA1" wp14:editId="7F9DC1AB">
            <wp:extent cx="5857885" cy="3726612"/>
            <wp:effectExtent l="0" t="0" r="9525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2E75" w:rsidRDefault="004C61F9" w:rsidP="00181D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ar-EG"/>
        </w:rPr>
      </w:pPr>
      <w:r>
        <w:rPr>
          <w:rFonts w:ascii="Times New Roman" w:hAnsi="Times New Roman" w:cs="Times New Roman"/>
          <w:sz w:val="28"/>
          <w:lang w:bidi="ar-EG"/>
        </w:rPr>
        <w:t>Также</w:t>
      </w:r>
      <w:r w:rsidR="00F12E75">
        <w:rPr>
          <w:rFonts w:ascii="Times New Roman" w:hAnsi="Times New Roman" w:cs="Times New Roman"/>
          <w:sz w:val="28"/>
          <w:lang w:bidi="ar-EG"/>
        </w:rPr>
        <w:t xml:space="preserve"> в </w:t>
      </w:r>
      <w:r w:rsidR="00181D05">
        <w:rPr>
          <w:rFonts w:ascii="Times New Roman" w:hAnsi="Times New Roman" w:cs="Times New Roman"/>
          <w:sz w:val="28"/>
          <w:lang w:bidi="ar-EG"/>
        </w:rPr>
        <w:t>прошлом</w:t>
      </w:r>
      <w:r w:rsidR="00F12E75">
        <w:rPr>
          <w:rFonts w:ascii="Times New Roman" w:hAnsi="Times New Roman" w:cs="Times New Roman"/>
          <w:sz w:val="28"/>
          <w:lang w:bidi="ar-EG"/>
        </w:rPr>
        <w:t xml:space="preserve"> году ЮАР осуществила поставки 443 тыс. тонн пшеницы. Г</w:t>
      </w:r>
      <w:r w:rsidR="004A2162">
        <w:rPr>
          <w:rFonts w:ascii="Times New Roman" w:hAnsi="Times New Roman" w:cs="Times New Roman"/>
          <w:sz w:val="28"/>
          <w:lang w:bidi="ar-EG"/>
        </w:rPr>
        <w:t xml:space="preserve">лавными покупателями стали Ботсвана (124 тыс. тонн), Зимбабве (96 тыс. тонн), Замбия (78 тыс. тонн), </w:t>
      </w:r>
      <w:proofErr w:type="spellStart"/>
      <w:r w:rsidR="004A2162">
        <w:rPr>
          <w:rFonts w:ascii="Times New Roman" w:hAnsi="Times New Roman" w:cs="Times New Roman"/>
          <w:sz w:val="28"/>
          <w:lang w:bidi="ar-EG"/>
        </w:rPr>
        <w:t>Эсватини</w:t>
      </w:r>
      <w:proofErr w:type="spellEnd"/>
      <w:r w:rsidR="004A2162">
        <w:rPr>
          <w:rFonts w:ascii="Times New Roman" w:hAnsi="Times New Roman" w:cs="Times New Roman"/>
          <w:sz w:val="28"/>
          <w:lang w:bidi="ar-EG"/>
        </w:rPr>
        <w:t xml:space="preserve"> (69 тыс. тонн), Лесото (64 тыс. тонн), Намибия (10 тыс. тонн) и др.</w:t>
      </w:r>
    </w:p>
    <w:p w:rsidR="00B07548" w:rsidRDefault="00B07548" w:rsidP="00B07548">
      <w:pPr>
        <w:spacing w:after="0" w:line="276" w:lineRule="auto"/>
        <w:jc w:val="center"/>
        <w:rPr>
          <w:rFonts w:ascii="Times New Roman" w:hAnsi="Times New Roman" w:cs="Times New Roman"/>
          <w:sz w:val="28"/>
          <w:lang w:bidi="ar-EG"/>
        </w:rPr>
      </w:pPr>
    </w:p>
    <w:p w:rsidR="0001617A" w:rsidRDefault="00181D05" w:rsidP="00016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ar-EG"/>
        </w:rPr>
      </w:pPr>
      <w:r>
        <w:rPr>
          <w:rFonts w:ascii="Times New Roman" w:hAnsi="Times New Roman" w:cs="Times New Roman"/>
          <w:sz w:val="28"/>
          <w:lang w:bidi="ar-EG"/>
        </w:rPr>
        <w:t>Кроме того</w:t>
      </w:r>
      <w:r w:rsidR="00D159DD">
        <w:rPr>
          <w:rFonts w:ascii="Times New Roman" w:hAnsi="Times New Roman" w:cs="Times New Roman"/>
          <w:sz w:val="28"/>
          <w:lang w:bidi="ar-EG"/>
        </w:rPr>
        <w:t xml:space="preserve">, в </w:t>
      </w:r>
      <w:r>
        <w:rPr>
          <w:rFonts w:ascii="Times New Roman" w:hAnsi="Times New Roman" w:cs="Times New Roman"/>
          <w:sz w:val="28"/>
          <w:lang w:bidi="ar-EG"/>
        </w:rPr>
        <w:t>2024</w:t>
      </w:r>
      <w:r w:rsidR="00D159DD">
        <w:rPr>
          <w:rFonts w:ascii="Times New Roman" w:hAnsi="Times New Roman" w:cs="Times New Roman"/>
          <w:sz w:val="28"/>
          <w:lang w:bidi="ar-EG"/>
        </w:rPr>
        <w:t xml:space="preserve"> году ЮАР поставил</w:t>
      </w:r>
      <w:r w:rsidR="00F12E75">
        <w:rPr>
          <w:rFonts w:ascii="Times New Roman" w:hAnsi="Times New Roman" w:cs="Times New Roman"/>
          <w:sz w:val="28"/>
          <w:lang w:bidi="ar-EG"/>
        </w:rPr>
        <w:t>а</w:t>
      </w:r>
      <w:r w:rsidR="00D159DD">
        <w:rPr>
          <w:rFonts w:ascii="Times New Roman" w:hAnsi="Times New Roman" w:cs="Times New Roman"/>
          <w:sz w:val="28"/>
          <w:lang w:bidi="ar-EG"/>
        </w:rPr>
        <w:t xml:space="preserve"> на внешние рынки 126 тыс. тонн соевых бобов, в основном в Зимбабве (88 тыс. тонн), Вьетнам (28 тыс. тонн) и </w:t>
      </w:r>
      <w:proofErr w:type="spellStart"/>
      <w:r w:rsidR="00D159DD">
        <w:rPr>
          <w:rFonts w:ascii="Times New Roman" w:hAnsi="Times New Roman" w:cs="Times New Roman"/>
          <w:sz w:val="28"/>
          <w:lang w:bidi="ar-EG"/>
        </w:rPr>
        <w:t>Эсватини</w:t>
      </w:r>
      <w:proofErr w:type="spellEnd"/>
      <w:r w:rsidR="00D159DD">
        <w:rPr>
          <w:rFonts w:ascii="Times New Roman" w:hAnsi="Times New Roman" w:cs="Times New Roman"/>
          <w:sz w:val="28"/>
          <w:lang w:bidi="ar-EG"/>
        </w:rPr>
        <w:t xml:space="preserve"> (7 тыс. тонн)</w:t>
      </w:r>
      <w:r w:rsidR="00F12E75">
        <w:rPr>
          <w:rFonts w:ascii="Times New Roman" w:hAnsi="Times New Roman" w:cs="Times New Roman"/>
          <w:sz w:val="28"/>
          <w:lang w:bidi="ar-EG"/>
        </w:rPr>
        <w:t xml:space="preserve"> и др</w:t>
      </w:r>
      <w:r w:rsidR="00D159DD">
        <w:rPr>
          <w:rFonts w:ascii="Times New Roman" w:hAnsi="Times New Roman" w:cs="Times New Roman"/>
          <w:sz w:val="28"/>
          <w:lang w:bidi="ar-EG"/>
        </w:rPr>
        <w:t>.</w:t>
      </w:r>
    </w:p>
    <w:p w:rsidR="00FE35FB" w:rsidRDefault="00FE35FB" w:rsidP="00016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ar-EG"/>
        </w:rPr>
      </w:pPr>
      <w:r>
        <w:rPr>
          <w:noProof/>
          <w:lang w:eastAsia="ru-RU"/>
        </w:rPr>
        <w:drawing>
          <wp:inline distT="0" distB="0" distL="0" distR="0" wp14:anchorId="276A24F2" wp14:editId="5AC2A005">
            <wp:extent cx="4981575" cy="34956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35FB" w:rsidRDefault="00FE35FB" w:rsidP="000161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ar-EG"/>
        </w:rPr>
      </w:pPr>
    </w:p>
    <w:p w:rsidR="00DD37F5" w:rsidRPr="00B07548" w:rsidRDefault="00DD37F5" w:rsidP="00DD37F5">
      <w:pPr>
        <w:spacing w:after="0" w:line="276" w:lineRule="auto"/>
        <w:jc w:val="both"/>
        <w:rPr>
          <w:rFonts w:ascii="Times New Roman" w:hAnsi="Times New Roman" w:cs="Times New Roman"/>
          <w:sz w:val="28"/>
          <w:lang w:bidi="ar-EG"/>
        </w:rPr>
      </w:pPr>
      <w:r>
        <w:rPr>
          <w:noProof/>
          <w:lang w:eastAsia="ru-RU"/>
        </w:rPr>
        <w:drawing>
          <wp:inline distT="0" distB="0" distL="0" distR="0" wp14:anchorId="5EBA1F67" wp14:editId="2C1951E3">
            <wp:extent cx="5807034" cy="4036671"/>
            <wp:effectExtent l="0" t="0" r="3810" b="25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1D05" w:rsidRDefault="00181D05" w:rsidP="00B075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bidi="ar-EG"/>
        </w:rPr>
      </w:pPr>
      <w:r>
        <w:rPr>
          <w:rFonts w:ascii="Times New Roman" w:hAnsi="Times New Roman" w:cs="Times New Roman"/>
          <w:sz w:val="28"/>
          <w:lang w:bidi="ar-EG"/>
        </w:rPr>
        <w:t xml:space="preserve">Тем не менее, </w:t>
      </w:r>
      <w:r w:rsidR="00C110DD">
        <w:rPr>
          <w:rFonts w:ascii="Times New Roman" w:hAnsi="Times New Roman" w:cs="Times New Roman"/>
          <w:sz w:val="28"/>
          <w:lang w:bidi="ar-EG"/>
        </w:rPr>
        <w:t xml:space="preserve">на данный момент </w:t>
      </w:r>
      <w:r>
        <w:rPr>
          <w:rFonts w:ascii="Times New Roman" w:hAnsi="Times New Roman" w:cs="Times New Roman"/>
          <w:sz w:val="28"/>
          <w:lang w:bidi="ar-EG"/>
        </w:rPr>
        <w:t xml:space="preserve">страна </w:t>
      </w:r>
      <w:r w:rsidR="00CA3002">
        <w:rPr>
          <w:rFonts w:ascii="Times New Roman" w:hAnsi="Times New Roman" w:cs="Times New Roman"/>
          <w:sz w:val="28"/>
          <w:lang w:bidi="ar-EG"/>
        </w:rPr>
        <w:t xml:space="preserve">не полностью обеспечивает внутренний спрос на зерновую продукцию и </w:t>
      </w:r>
      <w:r>
        <w:rPr>
          <w:rFonts w:ascii="Times New Roman" w:hAnsi="Times New Roman" w:cs="Times New Roman"/>
          <w:sz w:val="28"/>
          <w:lang w:bidi="ar-EG"/>
        </w:rPr>
        <w:t xml:space="preserve">остается зависимой от импорта </w:t>
      </w:r>
      <w:r w:rsidR="00CA3002">
        <w:rPr>
          <w:rFonts w:ascii="Times New Roman" w:hAnsi="Times New Roman" w:cs="Times New Roman"/>
          <w:sz w:val="28"/>
          <w:lang w:bidi="ar-EG"/>
        </w:rPr>
        <w:t>зерна</w:t>
      </w:r>
      <w:r w:rsidR="00D87D6A">
        <w:rPr>
          <w:rFonts w:ascii="Times New Roman" w:hAnsi="Times New Roman" w:cs="Times New Roman"/>
          <w:sz w:val="28"/>
          <w:lang w:bidi="ar-EG"/>
        </w:rPr>
        <w:t xml:space="preserve">, в частности пшеницы. Так, Южно-Африканская Республика в 2024 году </w:t>
      </w:r>
      <w:r w:rsidR="00B70977">
        <w:rPr>
          <w:rFonts w:ascii="Times New Roman" w:hAnsi="Times New Roman" w:cs="Times New Roman"/>
          <w:sz w:val="28"/>
          <w:lang w:bidi="ar-EG"/>
        </w:rPr>
        <w:t>импортировала 1,8</w:t>
      </w:r>
      <w:r w:rsidR="00D87D6A">
        <w:rPr>
          <w:rFonts w:ascii="Times New Roman" w:hAnsi="Times New Roman" w:cs="Times New Roman"/>
          <w:sz w:val="28"/>
          <w:lang w:bidi="ar-EG"/>
        </w:rPr>
        <w:t xml:space="preserve"> млн тонн данной культуры. Главным </w:t>
      </w:r>
      <w:r w:rsidR="004C61F9">
        <w:rPr>
          <w:rFonts w:ascii="Times New Roman" w:hAnsi="Times New Roman" w:cs="Times New Roman"/>
          <w:sz w:val="28"/>
          <w:lang w:bidi="ar-EG"/>
        </w:rPr>
        <w:t xml:space="preserve">поставщиком стала </w:t>
      </w:r>
      <w:r w:rsidR="004C61F9" w:rsidRPr="000B2492">
        <w:rPr>
          <w:rFonts w:ascii="Times New Roman" w:hAnsi="Times New Roman" w:cs="Times New Roman"/>
          <w:bCs/>
          <w:sz w:val="28"/>
          <w:lang w:bidi="ar-EG"/>
        </w:rPr>
        <w:t>Российская Федерация</w:t>
      </w:r>
      <w:r w:rsidR="004C61F9" w:rsidRPr="000B2492">
        <w:rPr>
          <w:rFonts w:ascii="Times New Roman" w:hAnsi="Times New Roman" w:cs="Times New Roman"/>
          <w:sz w:val="28"/>
          <w:lang w:bidi="ar-EG"/>
        </w:rPr>
        <w:t xml:space="preserve">, экспортировавшая в ЮАР </w:t>
      </w:r>
      <w:r w:rsidR="003B4A0C" w:rsidRPr="000B2492">
        <w:rPr>
          <w:rFonts w:ascii="Times New Roman" w:hAnsi="Times New Roman" w:cs="Times New Roman"/>
          <w:bCs/>
          <w:sz w:val="28"/>
          <w:lang w:bidi="ar-EG"/>
        </w:rPr>
        <w:t>514</w:t>
      </w:r>
      <w:r w:rsidR="004C61F9" w:rsidRPr="000B2492">
        <w:rPr>
          <w:rFonts w:ascii="Times New Roman" w:hAnsi="Times New Roman" w:cs="Times New Roman"/>
          <w:bCs/>
          <w:sz w:val="28"/>
          <w:lang w:bidi="ar-EG"/>
        </w:rPr>
        <w:t xml:space="preserve"> тыс. тонн</w:t>
      </w:r>
      <w:r w:rsidR="004C61F9">
        <w:rPr>
          <w:rFonts w:ascii="Times New Roman" w:hAnsi="Times New Roman" w:cs="Times New Roman"/>
          <w:sz w:val="28"/>
          <w:lang w:bidi="ar-EG"/>
        </w:rPr>
        <w:t xml:space="preserve"> пшеницы. Также поставки культуры в ЮАР в 2024 году осуществляли Литва (472 тыс. тонн), Австралия (411 тыс. тонн), </w:t>
      </w:r>
      <w:r w:rsidR="00B73F0F">
        <w:rPr>
          <w:rFonts w:ascii="Times New Roman" w:hAnsi="Times New Roman" w:cs="Times New Roman"/>
          <w:sz w:val="28"/>
          <w:lang w:bidi="ar-EG"/>
        </w:rPr>
        <w:t>Польша (255 тыс. тонн), Латвия (64 тыс.</w:t>
      </w:r>
      <w:r w:rsidR="00CA3002">
        <w:rPr>
          <w:rFonts w:ascii="Times New Roman" w:hAnsi="Times New Roman" w:cs="Times New Roman"/>
          <w:sz w:val="28"/>
          <w:lang w:bidi="ar-EG"/>
        </w:rPr>
        <w:t xml:space="preserve"> тонн), Канада (54 тыс. тонн) и др.</w:t>
      </w:r>
    </w:p>
    <w:p w:rsidR="000B2492" w:rsidRDefault="000B2492" w:rsidP="000B2492">
      <w:pPr>
        <w:spacing w:after="0" w:line="276" w:lineRule="auto"/>
        <w:jc w:val="both"/>
        <w:rPr>
          <w:rFonts w:ascii="Times New Roman" w:hAnsi="Times New Roman" w:cs="Times New Roman"/>
          <w:sz w:val="28"/>
          <w:lang w:bidi="ar-EG"/>
        </w:rPr>
      </w:pPr>
      <w:r w:rsidRPr="000B2492">
        <w:rPr>
          <w:rFonts w:ascii="Times New Roman" w:hAnsi="Times New Roman" w:cs="Times New Roman"/>
          <w:sz w:val="28"/>
          <w:lang w:bidi="ar-EG"/>
        </w:rPr>
        <w:t xml:space="preserve">Фото: </w:t>
      </w:r>
      <w:proofErr w:type="spellStart"/>
      <w:r w:rsidRPr="000B2492">
        <w:rPr>
          <w:rFonts w:ascii="Times New Roman" w:hAnsi="Times New Roman" w:cs="Times New Roman"/>
          <w:sz w:val="28"/>
          <w:lang w:bidi="ar-EG"/>
        </w:rPr>
        <w:t>kathrine-heigan</w:t>
      </w:r>
      <w:proofErr w:type="spellEnd"/>
      <w:r w:rsidRPr="000B2492">
        <w:rPr>
          <w:rFonts w:ascii="Times New Roman" w:hAnsi="Times New Roman" w:cs="Times New Roman"/>
          <w:sz w:val="28"/>
          <w:lang w:bidi="ar-EG"/>
        </w:rPr>
        <w:t xml:space="preserve"> / </w:t>
      </w:r>
      <w:proofErr w:type="spellStart"/>
      <w:r w:rsidRPr="000B2492">
        <w:rPr>
          <w:rFonts w:ascii="Times New Roman" w:hAnsi="Times New Roman" w:cs="Times New Roman"/>
          <w:sz w:val="28"/>
          <w:lang w:bidi="ar-EG"/>
        </w:rPr>
        <w:t>unsplash</w:t>
      </w:r>
      <w:bookmarkStart w:id="0" w:name="_GoBack"/>
      <w:bookmarkEnd w:id="0"/>
      <w:proofErr w:type="spellEnd"/>
    </w:p>
    <w:p w:rsidR="00AC7221" w:rsidRDefault="00AC7221" w:rsidP="00AC7221">
      <w:pPr>
        <w:spacing w:after="0" w:line="276" w:lineRule="auto"/>
        <w:jc w:val="both"/>
        <w:rPr>
          <w:rFonts w:ascii="Times New Roman" w:hAnsi="Times New Roman" w:cs="Times New Roman"/>
          <w:sz w:val="28"/>
          <w:lang w:bidi="ar-EG"/>
        </w:rPr>
      </w:pPr>
      <w:r>
        <w:rPr>
          <w:noProof/>
          <w:lang w:eastAsia="ru-RU"/>
        </w:rPr>
        <w:lastRenderedPageBreak/>
        <w:drawing>
          <wp:inline distT="0" distB="0" distL="0" distR="0" wp14:anchorId="4FAEDB6C" wp14:editId="5385C492">
            <wp:extent cx="6029960" cy="4154805"/>
            <wp:effectExtent l="0" t="0" r="8890" b="1714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39CB" w:rsidRPr="00B739CB" w:rsidRDefault="00B739CB" w:rsidP="0001617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lang w:bidi="ar-EG"/>
        </w:rPr>
        <w:t>Еще одной стабильно импортируемой куль</w:t>
      </w:r>
      <w:r w:rsidR="00B16A13">
        <w:rPr>
          <w:rFonts w:ascii="Times New Roman" w:hAnsi="Times New Roman" w:cs="Times New Roman"/>
          <w:sz w:val="28"/>
          <w:lang w:bidi="ar-EG"/>
        </w:rPr>
        <w:t>турой в ЮАР является рис, который не выращивается в стране, в связи с чем его внутреннее потребление полностью покрывается за счет импорта. В</w:t>
      </w:r>
      <w:r>
        <w:rPr>
          <w:rFonts w:ascii="Times New Roman" w:hAnsi="Times New Roman" w:cs="Times New Roman"/>
          <w:sz w:val="28"/>
          <w:lang w:bidi="ar-EG"/>
        </w:rPr>
        <w:t xml:space="preserve"> 2024 году ЮАР </w:t>
      </w:r>
      <w:r w:rsidR="0071284D">
        <w:rPr>
          <w:rFonts w:ascii="Times New Roman" w:hAnsi="Times New Roman" w:cs="Times New Roman"/>
          <w:sz w:val="28"/>
          <w:lang w:bidi="ar-EG"/>
        </w:rPr>
        <w:t xml:space="preserve">закупил </w:t>
      </w:r>
      <w:r w:rsidR="00AC7221">
        <w:rPr>
          <w:rFonts w:ascii="Times New Roman" w:hAnsi="Times New Roman" w:cs="Times New Roman"/>
          <w:sz w:val="28"/>
          <w:lang w:bidi="ar-EG"/>
        </w:rPr>
        <w:t xml:space="preserve">около </w:t>
      </w:r>
      <w:r w:rsidR="0071284D">
        <w:rPr>
          <w:rFonts w:ascii="Times New Roman" w:hAnsi="Times New Roman" w:cs="Times New Roman"/>
          <w:sz w:val="28"/>
          <w:lang w:bidi="ar-EG"/>
        </w:rPr>
        <w:t>1,1 млн тонн риса, в основном из Таиланда (835 тыс. тонн) и Индии (206 тыс. тонн).</w:t>
      </w:r>
    </w:p>
    <w:p w:rsidR="00C06D71" w:rsidRPr="00C06D71" w:rsidRDefault="00C06D71" w:rsidP="00DD37F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86660" w:rsidRPr="00C06D71" w:rsidRDefault="00186660" w:rsidP="00AC722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186660" w:rsidRDefault="00186660" w:rsidP="00C06D7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06D71">
        <w:rPr>
          <w:rFonts w:ascii="Times New Roman" w:hAnsi="Times New Roman" w:cs="Times New Roman"/>
          <w:b/>
          <w:i/>
          <w:sz w:val="28"/>
        </w:rPr>
        <w:t>4) Зерновая биржа БРИКС</w:t>
      </w:r>
    </w:p>
    <w:p w:rsidR="009E71F3" w:rsidRPr="001A1770" w:rsidRDefault="009E71F3" w:rsidP="008D5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5628">
        <w:rPr>
          <w:rFonts w:ascii="Times New Roman" w:hAnsi="Times New Roman" w:cs="Times New Roman"/>
          <w:sz w:val="28"/>
        </w:rPr>
        <w:t xml:space="preserve">Южно-Африканская Республика </w:t>
      </w:r>
      <w:r w:rsidR="000B2492">
        <w:rPr>
          <w:rFonts w:ascii="Times New Roman" w:hAnsi="Times New Roman" w:cs="Times New Roman"/>
          <w:sz w:val="28"/>
        </w:rPr>
        <w:t>–</w:t>
      </w:r>
      <w:r w:rsidRPr="008D5628">
        <w:rPr>
          <w:rFonts w:ascii="Times New Roman" w:hAnsi="Times New Roman" w:cs="Times New Roman"/>
          <w:sz w:val="28"/>
        </w:rPr>
        <w:t xml:space="preserve"> один из крупнейших производителей сельскохозяйственной продукции на африканском континенте. Хотя ЮАР не входит в число мировых зерновых гигантов, её роль в международной торговле зерном имеет региональное и стратегическое значение</w:t>
      </w:r>
      <w:r w:rsidR="008D5628" w:rsidRPr="008D5628">
        <w:rPr>
          <w:rFonts w:ascii="Times New Roman" w:hAnsi="Times New Roman" w:cs="Times New Roman"/>
          <w:sz w:val="28"/>
        </w:rPr>
        <w:t>.</w:t>
      </w:r>
    </w:p>
    <w:p w:rsidR="009E71F3" w:rsidRPr="001A1770" w:rsidRDefault="00012C26" w:rsidP="001A17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ar-EG"/>
        </w:rPr>
        <w:t>«С</w:t>
      </w:r>
      <w:r w:rsidR="009E71F3" w:rsidRPr="001A1770">
        <w:rPr>
          <w:rFonts w:ascii="Times New Roman" w:hAnsi="Times New Roman" w:cs="Times New Roman"/>
          <w:sz w:val="28"/>
          <w:lang w:bidi="ar-EG"/>
        </w:rPr>
        <w:t>тратегическ</w:t>
      </w:r>
      <w:r w:rsidR="00135A79">
        <w:rPr>
          <w:rFonts w:ascii="Times New Roman" w:hAnsi="Times New Roman" w:cs="Times New Roman"/>
          <w:sz w:val="28"/>
          <w:lang w:bidi="ar-EG"/>
        </w:rPr>
        <w:t>и</w:t>
      </w:r>
      <w:r w:rsidR="009E71F3" w:rsidRPr="001A1770">
        <w:rPr>
          <w:rFonts w:ascii="Times New Roman" w:hAnsi="Times New Roman" w:cs="Times New Roman"/>
          <w:sz w:val="28"/>
          <w:lang w:bidi="ar-EG"/>
        </w:rPr>
        <w:t xml:space="preserve"> </w:t>
      </w:r>
      <w:r w:rsidR="009E71F3" w:rsidRPr="001A1770">
        <w:rPr>
          <w:rFonts w:ascii="Times New Roman" w:hAnsi="Times New Roman" w:cs="Times New Roman"/>
          <w:sz w:val="28"/>
        </w:rPr>
        <w:t xml:space="preserve">ЮАР </w:t>
      </w:r>
      <w:r w:rsidR="00135A79">
        <w:rPr>
          <w:rFonts w:ascii="Times New Roman" w:hAnsi="Times New Roman" w:cs="Times New Roman"/>
          <w:sz w:val="28"/>
        </w:rPr>
        <w:t xml:space="preserve">является </w:t>
      </w:r>
      <w:r w:rsidR="009E71F3" w:rsidRPr="001A1770">
        <w:rPr>
          <w:rFonts w:ascii="Times New Roman" w:hAnsi="Times New Roman" w:cs="Times New Roman"/>
          <w:sz w:val="28"/>
        </w:rPr>
        <w:t>региональн</w:t>
      </w:r>
      <w:r w:rsidR="00135A79">
        <w:rPr>
          <w:rFonts w:ascii="Times New Roman" w:hAnsi="Times New Roman" w:cs="Times New Roman"/>
          <w:sz w:val="28"/>
        </w:rPr>
        <w:t>ым</w:t>
      </w:r>
      <w:r w:rsidR="009E71F3" w:rsidRPr="001A1770">
        <w:rPr>
          <w:rFonts w:ascii="Times New Roman" w:hAnsi="Times New Roman" w:cs="Times New Roman"/>
          <w:sz w:val="28"/>
        </w:rPr>
        <w:t xml:space="preserve"> </w:t>
      </w:r>
      <w:r w:rsidR="009E71F3" w:rsidRPr="00012C26">
        <w:rPr>
          <w:rFonts w:ascii="Times New Roman" w:hAnsi="Times New Roman" w:cs="Times New Roman"/>
          <w:bCs/>
          <w:sz w:val="28"/>
        </w:rPr>
        <w:t>аграрн</w:t>
      </w:r>
      <w:r w:rsidR="00135A79" w:rsidRPr="00012C26">
        <w:rPr>
          <w:rFonts w:ascii="Times New Roman" w:hAnsi="Times New Roman" w:cs="Times New Roman"/>
          <w:bCs/>
          <w:sz w:val="28"/>
        </w:rPr>
        <w:t>ым</w:t>
      </w:r>
      <w:r w:rsidR="009E71F3" w:rsidRPr="00012C26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9E71F3" w:rsidRPr="00012C26">
        <w:rPr>
          <w:rFonts w:ascii="Times New Roman" w:hAnsi="Times New Roman" w:cs="Times New Roman"/>
          <w:bCs/>
          <w:sz w:val="28"/>
        </w:rPr>
        <w:t>хаб</w:t>
      </w:r>
      <w:r w:rsidR="00135A79" w:rsidRPr="00012C26">
        <w:rPr>
          <w:rFonts w:ascii="Times New Roman" w:hAnsi="Times New Roman" w:cs="Times New Roman"/>
          <w:bCs/>
          <w:sz w:val="28"/>
        </w:rPr>
        <w:t>ом</w:t>
      </w:r>
      <w:proofErr w:type="spellEnd"/>
      <w:r w:rsidR="009E71F3" w:rsidRPr="00012C26">
        <w:rPr>
          <w:rFonts w:ascii="Times New Roman" w:hAnsi="Times New Roman" w:cs="Times New Roman"/>
          <w:bCs/>
          <w:sz w:val="28"/>
        </w:rPr>
        <w:t xml:space="preserve"> и транзитн</w:t>
      </w:r>
      <w:r w:rsidR="00135A79" w:rsidRPr="00012C26">
        <w:rPr>
          <w:rFonts w:ascii="Times New Roman" w:hAnsi="Times New Roman" w:cs="Times New Roman"/>
          <w:bCs/>
          <w:sz w:val="28"/>
        </w:rPr>
        <w:t>ым</w:t>
      </w:r>
      <w:r w:rsidR="009E71F3" w:rsidRPr="00012C26">
        <w:rPr>
          <w:rFonts w:ascii="Times New Roman" w:hAnsi="Times New Roman" w:cs="Times New Roman"/>
          <w:bCs/>
          <w:sz w:val="28"/>
        </w:rPr>
        <w:t xml:space="preserve"> узл</w:t>
      </w:r>
      <w:r w:rsidR="00135A79" w:rsidRPr="00012C26">
        <w:rPr>
          <w:rFonts w:ascii="Times New Roman" w:hAnsi="Times New Roman" w:cs="Times New Roman"/>
          <w:bCs/>
          <w:sz w:val="28"/>
        </w:rPr>
        <w:t>ом</w:t>
      </w:r>
      <w:r w:rsidR="009E71F3" w:rsidRPr="001A1770">
        <w:rPr>
          <w:rFonts w:ascii="Times New Roman" w:hAnsi="Times New Roman" w:cs="Times New Roman"/>
          <w:sz w:val="28"/>
        </w:rPr>
        <w:t>. Через её порты проходит зерно и продовольствие для других стран Южной Африки. Портовая инфраструктура (порты Дурбан, Кейптаун и другие) позволяет обеспечивать эффективную логистику в регионе. Данный узел может быть использован для транзита в рамках зерновой биржи БРИКС</w:t>
      </w:r>
      <w:r w:rsidR="001C0EA0">
        <w:rPr>
          <w:rFonts w:ascii="Times New Roman" w:hAnsi="Times New Roman" w:cs="Times New Roman"/>
          <w:sz w:val="28"/>
        </w:rPr>
        <w:t>», – отмечает Директор Федерального центра оценки безопасности и качества продукции агропромышленного комплекса Руслан Хасанов</w:t>
      </w:r>
      <w:r w:rsidR="009E71F3" w:rsidRPr="001A1770">
        <w:rPr>
          <w:rFonts w:ascii="Times New Roman" w:hAnsi="Times New Roman" w:cs="Times New Roman"/>
          <w:sz w:val="28"/>
        </w:rPr>
        <w:t>.</w:t>
      </w:r>
      <w:r w:rsidR="001C0EA0">
        <w:rPr>
          <w:rFonts w:ascii="Times New Roman" w:hAnsi="Times New Roman" w:cs="Times New Roman"/>
          <w:sz w:val="28"/>
        </w:rPr>
        <w:t xml:space="preserve"> </w:t>
      </w:r>
    </w:p>
    <w:p w:rsidR="009E71F3" w:rsidRDefault="001C0EA0" w:rsidP="001A17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то же время</w:t>
      </w:r>
      <w:r w:rsidR="009E71F3" w:rsidRPr="001A1770">
        <w:rPr>
          <w:rFonts w:ascii="Times New Roman" w:hAnsi="Times New Roman" w:cs="Times New Roman"/>
          <w:sz w:val="28"/>
        </w:rPr>
        <w:t xml:space="preserve">, портовая инфраструктура ЮАР сталкивается с определенными </w:t>
      </w:r>
      <w:r w:rsidR="009E71F3" w:rsidRPr="00135A79">
        <w:rPr>
          <w:rFonts w:ascii="Times New Roman" w:hAnsi="Times New Roman" w:cs="Times New Roman"/>
          <w:bCs/>
          <w:sz w:val="28"/>
        </w:rPr>
        <w:t>вызовами</w:t>
      </w:r>
      <w:r w:rsidR="009E71F3" w:rsidRPr="001A1770">
        <w:rPr>
          <w:rFonts w:ascii="Times New Roman" w:hAnsi="Times New Roman" w:cs="Times New Roman"/>
          <w:sz w:val="28"/>
        </w:rPr>
        <w:t xml:space="preserve">, связанными с энергетическим кризисом, управлением, износом оборудования, очередями судов. Данные обстоятельства </w:t>
      </w:r>
      <w:r w:rsidR="009E71F3" w:rsidRPr="001A1770">
        <w:rPr>
          <w:rFonts w:ascii="Times New Roman" w:hAnsi="Times New Roman" w:cs="Times New Roman"/>
          <w:sz w:val="28"/>
        </w:rPr>
        <w:lastRenderedPageBreak/>
        <w:t>необходимо учитывать при выстраивании логистических цепочек в целях эффективной работы биржи</w:t>
      </w:r>
      <w:r>
        <w:rPr>
          <w:rFonts w:ascii="Times New Roman" w:hAnsi="Times New Roman" w:cs="Times New Roman"/>
          <w:sz w:val="28"/>
        </w:rPr>
        <w:t xml:space="preserve">», – добавляет он. </w:t>
      </w:r>
    </w:p>
    <w:p w:rsidR="00A81AAB" w:rsidRPr="007C3D29" w:rsidRDefault="00CE5E9C" w:rsidP="008D56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0838AB">
        <w:rPr>
          <w:rFonts w:ascii="Times New Roman" w:hAnsi="Times New Roman" w:cs="Times New Roman"/>
          <w:sz w:val="28"/>
        </w:rPr>
        <w:t xml:space="preserve">нициатива </w:t>
      </w:r>
      <w:r>
        <w:rPr>
          <w:rFonts w:ascii="Times New Roman" w:hAnsi="Times New Roman" w:cs="Times New Roman"/>
          <w:sz w:val="28"/>
        </w:rPr>
        <w:t xml:space="preserve">по созданию </w:t>
      </w:r>
      <w:r w:rsidR="000838AB">
        <w:rPr>
          <w:rFonts w:ascii="Times New Roman" w:hAnsi="Times New Roman" w:cs="Times New Roman"/>
          <w:sz w:val="28"/>
        </w:rPr>
        <w:t>биржи</w:t>
      </w:r>
      <w:r w:rsidR="00043D8D">
        <w:rPr>
          <w:rFonts w:ascii="Times New Roman" w:hAnsi="Times New Roman" w:cs="Times New Roman"/>
          <w:sz w:val="28"/>
        </w:rPr>
        <w:t xml:space="preserve"> позволит ЮАР более просто и выгодно покупать продукцию у ведущих мировых поставщиков, таких как Россия и Бразилия, в том числе российскую пшеницу. Это, в свою очередь, даст России шанс нарастить поставки зерновой </w:t>
      </w:r>
      <w:r w:rsidR="00991B1E">
        <w:rPr>
          <w:rFonts w:ascii="Times New Roman" w:hAnsi="Times New Roman" w:cs="Times New Roman"/>
          <w:sz w:val="28"/>
        </w:rPr>
        <w:t xml:space="preserve">продукции </w:t>
      </w:r>
      <w:r w:rsidR="00043D8D">
        <w:rPr>
          <w:rFonts w:ascii="Times New Roman" w:hAnsi="Times New Roman" w:cs="Times New Roman"/>
          <w:sz w:val="28"/>
        </w:rPr>
        <w:t>в ЮАР.</w:t>
      </w:r>
      <w:r w:rsidR="00725DFC">
        <w:rPr>
          <w:rFonts w:ascii="Times New Roman" w:hAnsi="Times New Roman" w:cs="Times New Roman"/>
          <w:sz w:val="28"/>
        </w:rPr>
        <w:t xml:space="preserve"> </w:t>
      </w:r>
      <w:r w:rsidR="00725DFC" w:rsidRPr="008D5628">
        <w:rPr>
          <w:rFonts w:ascii="Times New Roman" w:hAnsi="Times New Roman" w:cs="Times New Roman"/>
          <w:sz w:val="28"/>
        </w:rPr>
        <w:t xml:space="preserve">Стоит </w:t>
      </w:r>
      <w:r w:rsidR="008D5628">
        <w:rPr>
          <w:rFonts w:ascii="Times New Roman" w:hAnsi="Times New Roman" w:cs="Times New Roman"/>
          <w:sz w:val="28"/>
        </w:rPr>
        <w:t>отметить</w:t>
      </w:r>
      <w:r w:rsidR="00725DFC">
        <w:rPr>
          <w:rFonts w:ascii="Times New Roman" w:hAnsi="Times New Roman" w:cs="Times New Roman"/>
          <w:sz w:val="28"/>
        </w:rPr>
        <w:t xml:space="preserve"> </w:t>
      </w:r>
      <w:r w:rsidR="008D5628">
        <w:rPr>
          <w:rFonts w:ascii="Times New Roman" w:hAnsi="Times New Roman" w:cs="Times New Roman"/>
          <w:sz w:val="28"/>
        </w:rPr>
        <w:t xml:space="preserve">возможности </w:t>
      </w:r>
      <w:r>
        <w:rPr>
          <w:rFonts w:ascii="Times New Roman" w:hAnsi="Times New Roman" w:cs="Times New Roman"/>
          <w:sz w:val="28"/>
        </w:rPr>
        <w:t xml:space="preserve">увеличения </w:t>
      </w:r>
      <w:r w:rsidR="00725DFC">
        <w:rPr>
          <w:rFonts w:ascii="Times New Roman" w:hAnsi="Times New Roman" w:cs="Times New Roman"/>
          <w:sz w:val="28"/>
        </w:rPr>
        <w:t>экспорт</w:t>
      </w:r>
      <w:r w:rsidR="008D5628">
        <w:rPr>
          <w:rFonts w:ascii="Times New Roman" w:hAnsi="Times New Roman" w:cs="Times New Roman"/>
          <w:sz w:val="28"/>
        </w:rPr>
        <w:t>а</w:t>
      </w:r>
      <w:r w:rsidR="00725DFC">
        <w:rPr>
          <w:rFonts w:ascii="Times New Roman" w:hAnsi="Times New Roman" w:cs="Times New Roman"/>
          <w:sz w:val="28"/>
        </w:rPr>
        <w:t xml:space="preserve"> кукурузы и</w:t>
      </w:r>
      <w:r w:rsidR="008D5628">
        <w:rPr>
          <w:rFonts w:ascii="Times New Roman" w:hAnsi="Times New Roman" w:cs="Times New Roman"/>
          <w:sz w:val="28"/>
        </w:rPr>
        <w:t>з Южно-Африканской Республики: с</w:t>
      </w:r>
      <w:r w:rsidR="00725DFC">
        <w:rPr>
          <w:rFonts w:ascii="Times New Roman" w:hAnsi="Times New Roman" w:cs="Times New Roman"/>
          <w:sz w:val="28"/>
        </w:rPr>
        <w:t xml:space="preserve">оздание зерновой биржи </w:t>
      </w:r>
      <w:r w:rsidR="002C565A">
        <w:rPr>
          <w:rFonts w:ascii="Times New Roman" w:hAnsi="Times New Roman" w:cs="Times New Roman"/>
          <w:sz w:val="28"/>
        </w:rPr>
        <w:t xml:space="preserve">может </w:t>
      </w:r>
      <w:r w:rsidR="00725DFC">
        <w:rPr>
          <w:rFonts w:ascii="Times New Roman" w:hAnsi="Times New Roman" w:cs="Times New Roman"/>
          <w:sz w:val="28"/>
        </w:rPr>
        <w:t>способствовать диверсификации рынков сбыта данной культуры.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A81AAB" w:rsidRPr="007C3D29" w:rsidSect="00372B5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46A"/>
    <w:multiLevelType w:val="multilevel"/>
    <w:tmpl w:val="B280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F787A"/>
    <w:multiLevelType w:val="multilevel"/>
    <w:tmpl w:val="6E5E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E5108"/>
    <w:multiLevelType w:val="hybridMultilevel"/>
    <w:tmpl w:val="EBFA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82B57"/>
    <w:multiLevelType w:val="hybridMultilevel"/>
    <w:tmpl w:val="AF920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54918"/>
    <w:multiLevelType w:val="hybridMultilevel"/>
    <w:tmpl w:val="E8DA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47"/>
    <w:rsid w:val="00012C26"/>
    <w:rsid w:val="0001617A"/>
    <w:rsid w:val="00022EE9"/>
    <w:rsid w:val="00023F98"/>
    <w:rsid w:val="000427CF"/>
    <w:rsid w:val="00043D8D"/>
    <w:rsid w:val="000838AB"/>
    <w:rsid w:val="00094499"/>
    <w:rsid w:val="000B2492"/>
    <w:rsid w:val="000D46F6"/>
    <w:rsid w:val="00117981"/>
    <w:rsid w:val="0012337E"/>
    <w:rsid w:val="00135A79"/>
    <w:rsid w:val="001529D8"/>
    <w:rsid w:val="00181D05"/>
    <w:rsid w:val="00186660"/>
    <w:rsid w:val="00191AE7"/>
    <w:rsid w:val="00192F2A"/>
    <w:rsid w:val="001A1770"/>
    <w:rsid w:val="001B46C3"/>
    <w:rsid w:val="001C0EA0"/>
    <w:rsid w:val="001C1D3F"/>
    <w:rsid w:val="001E408A"/>
    <w:rsid w:val="00220EBE"/>
    <w:rsid w:val="002218B7"/>
    <w:rsid w:val="0025354B"/>
    <w:rsid w:val="00266077"/>
    <w:rsid w:val="002844C5"/>
    <w:rsid w:val="00297467"/>
    <w:rsid w:val="002C565A"/>
    <w:rsid w:val="002C5F3E"/>
    <w:rsid w:val="002D1D9A"/>
    <w:rsid w:val="002D7237"/>
    <w:rsid w:val="002F3D76"/>
    <w:rsid w:val="002F5517"/>
    <w:rsid w:val="00312AD4"/>
    <w:rsid w:val="00333CE4"/>
    <w:rsid w:val="00362FF6"/>
    <w:rsid w:val="00370793"/>
    <w:rsid w:val="00372B58"/>
    <w:rsid w:val="00381296"/>
    <w:rsid w:val="00397410"/>
    <w:rsid w:val="003A3286"/>
    <w:rsid w:val="003B4A0C"/>
    <w:rsid w:val="003B6226"/>
    <w:rsid w:val="003C0F02"/>
    <w:rsid w:val="003D43B1"/>
    <w:rsid w:val="00414536"/>
    <w:rsid w:val="00422E27"/>
    <w:rsid w:val="00433AE6"/>
    <w:rsid w:val="0045363E"/>
    <w:rsid w:val="00466C26"/>
    <w:rsid w:val="004672D8"/>
    <w:rsid w:val="00481232"/>
    <w:rsid w:val="00497BAC"/>
    <w:rsid w:val="004A2162"/>
    <w:rsid w:val="004A41F5"/>
    <w:rsid w:val="004A663D"/>
    <w:rsid w:val="004B3435"/>
    <w:rsid w:val="004B7DC8"/>
    <w:rsid w:val="004C48E7"/>
    <w:rsid w:val="004C61F9"/>
    <w:rsid w:val="004D068E"/>
    <w:rsid w:val="004E0924"/>
    <w:rsid w:val="004E4884"/>
    <w:rsid w:val="00543CD6"/>
    <w:rsid w:val="005577AA"/>
    <w:rsid w:val="0056232A"/>
    <w:rsid w:val="00592E8E"/>
    <w:rsid w:val="005D2633"/>
    <w:rsid w:val="005D712C"/>
    <w:rsid w:val="005E65E5"/>
    <w:rsid w:val="005F7F45"/>
    <w:rsid w:val="00620B43"/>
    <w:rsid w:val="00626E28"/>
    <w:rsid w:val="00647F9A"/>
    <w:rsid w:val="0065440D"/>
    <w:rsid w:val="006807FE"/>
    <w:rsid w:val="00690309"/>
    <w:rsid w:val="00697F48"/>
    <w:rsid w:val="006D0FEF"/>
    <w:rsid w:val="0071284D"/>
    <w:rsid w:val="00725DFC"/>
    <w:rsid w:val="0075198C"/>
    <w:rsid w:val="00762E3F"/>
    <w:rsid w:val="00766F84"/>
    <w:rsid w:val="007768ED"/>
    <w:rsid w:val="007C3D29"/>
    <w:rsid w:val="007C65A8"/>
    <w:rsid w:val="007C6799"/>
    <w:rsid w:val="007C7920"/>
    <w:rsid w:val="007F68D0"/>
    <w:rsid w:val="00802192"/>
    <w:rsid w:val="00815511"/>
    <w:rsid w:val="008160A3"/>
    <w:rsid w:val="00835B08"/>
    <w:rsid w:val="008374ED"/>
    <w:rsid w:val="00870907"/>
    <w:rsid w:val="008829B8"/>
    <w:rsid w:val="008C3B6A"/>
    <w:rsid w:val="008D2661"/>
    <w:rsid w:val="008D5628"/>
    <w:rsid w:val="009305B9"/>
    <w:rsid w:val="00967FD1"/>
    <w:rsid w:val="009825CE"/>
    <w:rsid w:val="00991B1E"/>
    <w:rsid w:val="009D0CE8"/>
    <w:rsid w:val="009E71F3"/>
    <w:rsid w:val="00A04CA0"/>
    <w:rsid w:val="00A20D07"/>
    <w:rsid w:val="00A3087A"/>
    <w:rsid w:val="00A81AAB"/>
    <w:rsid w:val="00A86F47"/>
    <w:rsid w:val="00AC7221"/>
    <w:rsid w:val="00B07548"/>
    <w:rsid w:val="00B12232"/>
    <w:rsid w:val="00B16A13"/>
    <w:rsid w:val="00B27D24"/>
    <w:rsid w:val="00B70977"/>
    <w:rsid w:val="00B7137B"/>
    <w:rsid w:val="00B739CB"/>
    <w:rsid w:val="00B73F0F"/>
    <w:rsid w:val="00B82BD6"/>
    <w:rsid w:val="00BA4FF0"/>
    <w:rsid w:val="00BA5325"/>
    <w:rsid w:val="00BD45AA"/>
    <w:rsid w:val="00BE24EB"/>
    <w:rsid w:val="00C06D71"/>
    <w:rsid w:val="00C110DD"/>
    <w:rsid w:val="00C25FA2"/>
    <w:rsid w:val="00C63B23"/>
    <w:rsid w:val="00C80DD4"/>
    <w:rsid w:val="00CA075C"/>
    <w:rsid w:val="00CA3002"/>
    <w:rsid w:val="00CA7D57"/>
    <w:rsid w:val="00CD2691"/>
    <w:rsid w:val="00CD3BBC"/>
    <w:rsid w:val="00CD46AB"/>
    <w:rsid w:val="00CD5E28"/>
    <w:rsid w:val="00CD7FC7"/>
    <w:rsid w:val="00CE5E9C"/>
    <w:rsid w:val="00CE6875"/>
    <w:rsid w:val="00CE7F2F"/>
    <w:rsid w:val="00D00984"/>
    <w:rsid w:val="00D02CB6"/>
    <w:rsid w:val="00D1043E"/>
    <w:rsid w:val="00D159DD"/>
    <w:rsid w:val="00D252DC"/>
    <w:rsid w:val="00D3510D"/>
    <w:rsid w:val="00D53C90"/>
    <w:rsid w:val="00D623A3"/>
    <w:rsid w:val="00D87D6A"/>
    <w:rsid w:val="00DB1672"/>
    <w:rsid w:val="00DC036C"/>
    <w:rsid w:val="00DD37F5"/>
    <w:rsid w:val="00DE757C"/>
    <w:rsid w:val="00DF5D41"/>
    <w:rsid w:val="00E12C10"/>
    <w:rsid w:val="00E244DF"/>
    <w:rsid w:val="00E31A0A"/>
    <w:rsid w:val="00E73D05"/>
    <w:rsid w:val="00E800E1"/>
    <w:rsid w:val="00EA7E74"/>
    <w:rsid w:val="00EB1FBC"/>
    <w:rsid w:val="00EC35F6"/>
    <w:rsid w:val="00EC5DA1"/>
    <w:rsid w:val="00F12E75"/>
    <w:rsid w:val="00F665FA"/>
    <w:rsid w:val="00F73573"/>
    <w:rsid w:val="00F80843"/>
    <w:rsid w:val="00F817E0"/>
    <w:rsid w:val="00FC1B8D"/>
    <w:rsid w:val="00FD2C25"/>
    <w:rsid w:val="00FD326C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6231"/>
  <w15:chartTrackingRefBased/>
  <w15:docId w15:val="{840D4AA3-CFBE-4698-8D83-70A26B39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3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LO\EO\1.%20&#1055;&#1086;&#1088;&#1091;&#1095;&#1077;&#1085;&#1080;&#1103;\2025\2.%20&#1055;&#1086;&#1088;&#1091;&#1095;&#1077;&#1085;&#1080;&#1103;%20&#1062;&#1054;&#1050;&#1047;\16.%20&#1041;&#1056;&#1048;&#1050;&#1057;\&#1070;&#1040;&#1056;%20&#1041;&#1056;&#1048;&#1050;&#1057;%20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LO\EO\1.%20&#1055;&#1086;&#1088;&#1091;&#1095;&#1077;&#1085;&#1080;&#1103;\2025\2.%20&#1055;&#1086;&#1088;&#1091;&#1095;&#1077;&#1085;&#1080;&#1103;%20&#1062;&#1054;&#1050;&#1047;\16.%20&#1041;&#1056;&#1048;&#1050;&#1057;\&#1070;&#1040;&#1056;%20&#1041;&#1056;&#1048;&#1050;&#1057;%20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LO\EO\1.%20&#1055;&#1086;&#1088;&#1091;&#1095;&#1077;&#1085;&#1080;&#1103;\2025\2.%20&#1055;&#1086;&#1088;&#1091;&#1095;&#1077;&#1085;&#1080;&#1103;%20&#1062;&#1054;&#1050;&#1047;\16.%20&#1041;&#1056;&#1048;&#1050;&#1057;\&#1070;&#1040;&#1056;%20&#1041;&#1056;&#1048;&#1050;&#1057;%20&#1075;&#1088;&#1072;&#1092;&#1080;&#1082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chiev.av\Downloads\&#1070;&#1040;&#1056;%20&#1041;&#1056;&#1048;&#1050;&#1057;%20&#1075;&#1088;&#1072;&#1092;&#1080;&#1082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LO\EO\1.%20&#1055;&#1086;&#1088;&#1091;&#1095;&#1077;&#1085;&#1080;&#1103;\2025\2.%20&#1055;&#1086;&#1088;&#1091;&#1095;&#1077;&#1085;&#1080;&#1103;%20&#1062;&#1054;&#1050;&#1047;\16.%20&#1041;&#1056;&#1048;&#1050;&#1057;\&#1070;&#1040;&#1056;%20&#1041;&#1056;&#1048;&#1050;&#1057;%20&#1075;&#1088;&#1072;&#1092;&#1080;&#1082;&#108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rv-FLO\EO\1.%20&#1055;&#1086;&#1088;&#1091;&#1095;&#1077;&#1085;&#1080;&#1103;\2025\2.%20&#1055;&#1086;&#1088;&#1091;&#1095;&#1077;&#1085;&#1080;&#1103;%20&#1062;&#1054;&#1050;&#1047;\16.%20&#1041;&#1056;&#1048;&#1050;&#1057;\&#1070;&#1040;&#1056;%20&#1041;&#1056;&#1048;&#1050;&#1057;%20&#1075;&#1088;&#1072;&#1092;&#1080;&#1082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ВВП, трлн долл. США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ВВП!$A$21</c:f>
              <c:strCache>
                <c:ptCount val="1"/>
                <c:pt idx="0">
                  <c:v>Россия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numRef>
              <c:f>ВВП!$B$20:$E$20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ВВП!$B$21:$E$21</c:f>
              <c:numCache>
                <c:formatCode>General</c:formatCode>
                <c:ptCount val="4"/>
                <c:pt idx="0">
                  <c:v>1.49</c:v>
                </c:pt>
                <c:pt idx="1">
                  <c:v>1.84</c:v>
                </c:pt>
                <c:pt idx="2">
                  <c:v>2.27</c:v>
                </c:pt>
                <c:pt idx="3">
                  <c:v>2.02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A6-481C-BBDA-9485E5EB8132}"/>
            </c:ext>
          </c:extLst>
        </c:ser>
        <c:ser>
          <c:idx val="1"/>
          <c:order val="1"/>
          <c:tx>
            <c:strRef>
              <c:f>ВВП!$A$22</c:f>
              <c:strCache>
                <c:ptCount val="1"/>
                <c:pt idx="0">
                  <c:v>ЮАР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numRef>
              <c:f>ВВП!$B$20:$E$20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ВВП!$B$22:$E$22</c:f>
              <c:numCache>
                <c:formatCode>General</c:formatCode>
                <c:ptCount val="4"/>
                <c:pt idx="0">
                  <c:v>0.33800000000000002</c:v>
                </c:pt>
                <c:pt idx="1">
                  <c:v>0.42099999999999999</c:v>
                </c:pt>
                <c:pt idx="2">
                  <c:v>0.40699999999999997</c:v>
                </c:pt>
                <c:pt idx="3">
                  <c:v>0.38100000000000001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A6-481C-BBDA-9485E5EB8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2225040"/>
        <c:axId val="1822221296"/>
      </c:barChart>
      <c:catAx>
        <c:axId val="182222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221296"/>
        <c:crosses val="autoZero"/>
        <c:auto val="1"/>
        <c:lblAlgn val="ctr"/>
        <c:lblOffset val="100"/>
        <c:noMultiLvlLbl val="0"/>
      </c:catAx>
      <c:valAx>
        <c:axId val="1822221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222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</a:t>
            </a:r>
            <a:r>
              <a:rPr lang="ru-RU" baseline="0"/>
              <a:t> экспорта </a:t>
            </a:r>
            <a:r>
              <a:rPr lang="ru-RU"/>
              <a:t>кукурузы</a:t>
            </a:r>
            <a:r>
              <a:rPr lang="ru-RU" baseline="0"/>
              <a:t> из ЮАР в 2024 г. </a:t>
            </a:r>
          </a:p>
          <a:p>
            <a:pPr>
              <a:defRPr/>
            </a:pPr>
            <a:r>
              <a:rPr lang="ru-RU" baseline="0"/>
              <a:t>в разрезе по странам, тыс. тонн</a:t>
            </a:r>
            <a:endParaRPr lang="ru-RU"/>
          </a:p>
        </c:rich>
      </c:tx>
      <c:layout>
        <c:manualLayout>
          <c:xMode val="edge"/>
          <c:yMode val="edge"/>
          <c:x val="0.2238061832813617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18C-4680-8A3C-27FF6BE53A98}"/>
              </c:ext>
            </c:extLst>
          </c:dPt>
          <c:dPt>
            <c:idx val="1"/>
            <c:bubble3D val="0"/>
            <c:spPr>
              <a:solidFill>
                <a:schemeClr val="accent6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18C-4680-8A3C-27FF6BE53A98}"/>
              </c:ext>
            </c:extLst>
          </c:dPt>
          <c:dPt>
            <c:idx val="2"/>
            <c:bubble3D val="0"/>
            <c:spPr>
              <a:solidFill>
                <a:schemeClr val="accent6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18C-4680-8A3C-27FF6BE53A98}"/>
              </c:ext>
            </c:extLst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18C-4680-8A3C-27FF6BE53A98}"/>
              </c:ext>
            </c:extLst>
          </c:dPt>
          <c:dPt>
            <c:idx val="4"/>
            <c:bubble3D val="0"/>
            <c:spPr>
              <a:solidFill>
                <a:schemeClr val="accent6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18C-4680-8A3C-27FF6BE53A98}"/>
              </c:ext>
            </c:extLst>
          </c:dPt>
          <c:dPt>
            <c:idx val="5"/>
            <c:bubble3D val="0"/>
            <c:spPr>
              <a:solidFill>
                <a:schemeClr val="accent6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18C-4680-8A3C-27FF6BE53A98}"/>
              </c:ext>
            </c:extLst>
          </c:dPt>
          <c:dPt>
            <c:idx val="6"/>
            <c:bubble3D val="0"/>
            <c:spPr>
              <a:solidFill>
                <a:schemeClr val="accent6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18C-4680-8A3C-27FF6BE53A98}"/>
              </c:ext>
            </c:extLst>
          </c:dPt>
          <c:dLbls>
            <c:dLbl>
              <c:idx val="5"/>
              <c:layout>
                <c:manualLayout>
                  <c:x val="-1.0746910263299301E-2"/>
                  <c:y val="-1.36565380675998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18C-4680-8A3C-27FF6BE53A98}"/>
                </c:ext>
              </c:extLst>
            </c:dLbl>
            <c:dLbl>
              <c:idx val="6"/>
              <c:layout>
                <c:manualLayout>
                  <c:x val="7.2449770723871515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18C-4680-8A3C-27FF6BE53A9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'Экспорт Бразилии'!$D$2:$D$8</c:f>
              <c:strCache>
                <c:ptCount val="7"/>
                <c:pt idx="0">
                  <c:v>Зимбабве</c:v>
                </c:pt>
                <c:pt idx="1">
                  <c:v>Ботсвана</c:v>
                </c:pt>
                <c:pt idx="2">
                  <c:v>Намибия</c:v>
                </c:pt>
                <c:pt idx="3">
                  <c:v>Мозамбик</c:v>
                </c:pt>
                <c:pt idx="4">
                  <c:v>Эсватини</c:v>
                </c:pt>
                <c:pt idx="5">
                  <c:v>Лесото</c:v>
                </c:pt>
                <c:pt idx="6">
                  <c:v>Другие страны</c:v>
                </c:pt>
              </c:strCache>
            </c:strRef>
          </c:cat>
          <c:val>
            <c:numRef>
              <c:f>'Экспорт Бразилии'!$E$2:$E$8</c:f>
              <c:numCache>
                <c:formatCode>General</c:formatCode>
                <c:ptCount val="7"/>
                <c:pt idx="0">
                  <c:v>1564</c:v>
                </c:pt>
                <c:pt idx="1">
                  <c:v>344</c:v>
                </c:pt>
                <c:pt idx="2">
                  <c:v>322</c:v>
                </c:pt>
                <c:pt idx="3">
                  <c:v>190</c:v>
                </c:pt>
                <c:pt idx="4">
                  <c:v>178</c:v>
                </c:pt>
                <c:pt idx="5">
                  <c:v>104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8C-4680-8A3C-27FF6BE53A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+mn-lt"/>
                <a:cs typeface="Times New Roman" panose="02020603050405020304" pitchFamily="18" charset="0"/>
              </a:rPr>
              <a:t>Объем</a:t>
            </a:r>
            <a:r>
              <a:rPr lang="ru-RU" sz="1400" baseline="0">
                <a:latin typeface="+mn-lt"/>
                <a:cs typeface="Times New Roman" panose="02020603050405020304" pitchFamily="18" charset="0"/>
              </a:rPr>
              <a:t> экспорта </a:t>
            </a:r>
            <a:r>
              <a:rPr lang="ru-RU" sz="1400">
                <a:latin typeface="+mn-lt"/>
                <a:cs typeface="Times New Roman" panose="02020603050405020304" pitchFamily="18" charset="0"/>
              </a:rPr>
              <a:t>пшеницы </a:t>
            </a:r>
            <a:r>
              <a:rPr lang="ru-RU" sz="1400" baseline="0">
                <a:latin typeface="+mn-lt"/>
                <a:cs typeface="Times New Roman" panose="02020603050405020304" pitchFamily="18" charset="0"/>
              </a:rPr>
              <a:t>из ЮАР в 2024 г.</a:t>
            </a:r>
            <a:br>
              <a:rPr lang="ru-RU" sz="1400" baseline="0">
                <a:latin typeface="+mn-lt"/>
                <a:cs typeface="Times New Roman" panose="02020603050405020304" pitchFamily="18" charset="0"/>
              </a:rPr>
            </a:br>
            <a:r>
              <a:rPr lang="ru-RU" sz="1400" baseline="0">
                <a:latin typeface="+mn-lt"/>
                <a:cs typeface="Times New Roman" panose="02020603050405020304" pitchFamily="18" charset="0"/>
              </a:rPr>
              <a:t>в разрезе по странам, тыс. тонн</a:t>
            </a:r>
            <a:endParaRPr lang="ru-RU" sz="14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2411347517730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70-4F99-90E1-99939BB5BA24}"/>
              </c:ext>
            </c:extLst>
          </c:dPt>
          <c:dPt>
            <c:idx val="1"/>
            <c:bubble3D val="0"/>
            <c:spPr>
              <a:solidFill>
                <a:schemeClr val="accent4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70-4F99-90E1-99939BB5BA24}"/>
              </c:ext>
            </c:extLst>
          </c:dPt>
          <c:dPt>
            <c:idx val="2"/>
            <c:bubble3D val="0"/>
            <c:spPr>
              <a:solidFill>
                <a:schemeClr val="accent4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A70-4F99-90E1-99939BB5BA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A70-4F99-90E1-99939BB5BA24}"/>
              </c:ext>
            </c:extLst>
          </c:dPt>
          <c:dPt>
            <c:idx val="4"/>
            <c:bubble3D val="0"/>
            <c:spPr>
              <a:solidFill>
                <a:schemeClr val="accent4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A70-4F99-90E1-99939BB5BA24}"/>
              </c:ext>
            </c:extLst>
          </c:dPt>
          <c:dPt>
            <c:idx val="5"/>
            <c:bubble3D val="0"/>
            <c:spPr>
              <a:solidFill>
                <a:schemeClr val="accent4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A70-4F99-90E1-99939BB5BA24}"/>
              </c:ext>
            </c:extLst>
          </c:dPt>
          <c:dPt>
            <c:idx val="6"/>
            <c:bubble3D val="0"/>
            <c:spPr>
              <a:solidFill>
                <a:schemeClr val="accent4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A70-4F99-90E1-99939BB5BA24}"/>
              </c:ext>
            </c:extLst>
          </c:dPt>
          <c:dLbls>
            <c:dLbl>
              <c:idx val="0"/>
              <c:layout>
                <c:manualLayout>
                  <c:x val="3.7898358339151242E-2"/>
                  <c:y val="7.504688953294834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A70-4F99-90E1-99939BB5BA24}"/>
                </c:ext>
              </c:extLst>
            </c:dLbl>
            <c:dLbl>
              <c:idx val="1"/>
              <c:layout>
                <c:manualLayout>
                  <c:x val="-1.5056461731493099E-2"/>
                  <c:y val="3.387779794313369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70-4F99-90E1-99939BB5BA24}"/>
                </c:ext>
              </c:extLst>
            </c:dLbl>
            <c:dLbl>
              <c:idx val="2"/>
              <c:layout>
                <c:manualLayout>
                  <c:x val="-6.6917607695524883E-3"/>
                  <c:y val="3.629764065335753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70-4F99-90E1-99939BB5BA24}"/>
                </c:ext>
              </c:extLst>
            </c:dLbl>
            <c:dLbl>
              <c:idx val="3"/>
              <c:layout>
                <c:manualLayout>
                  <c:x val="-2.8439983270598091E-2"/>
                  <c:y val="4.35571687840290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70-4F99-90E1-99939BB5BA24}"/>
                </c:ext>
              </c:extLst>
            </c:dLbl>
            <c:dLbl>
              <c:idx val="4"/>
              <c:layout>
                <c:manualLayout>
                  <c:x val="-5.8552906733584258E-2"/>
                  <c:y val="3.629764065335748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70-4F99-90E1-99939BB5BA24}"/>
                </c:ext>
              </c:extLst>
            </c:dLbl>
            <c:dLbl>
              <c:idx val="5"/>
              <c:layout>
                <c:manualLayout>
                  <c:x val="-7.9550348889315711E-2"/>
                  <c:y val="1.199646823288193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A70-4F99-90E1-99939BB5BA24}"/>
                </c:ext>
              </c:extLst>
            </c:dLbl>
            <c:dLbl>
              <c:idx val="6"/>
              <c:layout>
                <c:manualLayout>
                  <c:x val="8.1974069427017918E-2"/>
                  <c:y val="-1.935874168179068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A70-4F99-90E1-99939BB5BA2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'Экспорт Бразилии'!$A$2:$A$8</c:f>
              <c:strCache>
                <c:ptCount val="7"/>
                <c:pt idx="0">
                  <c:v>Ботсвана</c:v>
                </c:pt>
                <c:pt idx="1">
                  <c:v>Зимбабве</c:v>
                </c:pt>
                <c:pt idx="2">
                  <c:v>Замбия</c:v>
                </c:pt>
                <c:pt idx="3">
                  <c:v>Эсватини</c:v>
                </c:pt>
                <c:pt idx="4">
                  <c:v>Лесото</c:v>
                </c:pt>
                <c:pt idx="5">
                  <c:v>Намибия</c:v>
                </c:pt>
                <c:pt idx="6">
                  <c:v>Другие страны</c:v>
                </c:pt>
              </c:strCache>
            </c:strRef>
          </c:cat>
          <c:val>
            <c:numRef>
              <c:f>'Экспорт Бразилии'!$B$2:$B$8</c:f>
              <c:numCache>
                <c:formatCode>General</c:formatCode>
                <c:ptCount val="7"/>
                <c:pt idx="0">
                  <c:v>124</c:v>
                </c:pt>
                <c:pt idx="1">
                  <c:v>96</c:v>
                </c:pt>
                <c:pt idx="2">
                  <c:v>78</c:v>
                </c:pt>
                <c:pt idx="3">
                  <c:v>69</c:v>
                </c:pt>
                <c:pt idx="4">
                  <c:v>64</c:v>
                </c:pt>
                <c:pt idx="5">
                  <c:v>10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A70-4F99-90E1-99939BB5B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</a:t>
            </a:r>
            <a:r>
              <a:rPr lang="ru-RU" baseline="0"/>
              <a:t> </a:t>
            </a:r>
            <a:r>
              <a:rPr lang="ru-RU" sz="1400" b="0" i="0" u="none" strike="noStrike" baseline="0">
                <a:effectLst/>
              </a:rPr>
              <a:t>экспорта</a:t>
            </a:r>
            <a:r>
              <a:rPr lang="ru-RU" baseline="0"/>
              <a:t> соевых бобов из ЮАР в 2024 г. в разрезе по странам, </a:t>
            </a:r>
            <a:br>
              <a:rPr lang="ru-RU" baseline="0"/>
            </a:br>
            <a:r>
              <a:rPr lang="ru-RU" baseline="0"/>
              <a:t>тыс. тонн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AB-467E-9424-FB79FDEC9B84}"/>
              </c:ext>
            </c:extLst>
          </c:dPt>
          <c:dPt>
            <c:idx val="1"/>
            <c:bubble3D val="0"/>
            <c:spPr>
              <a:solidFill>
                <a:schemeClr val="accent5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AB-467E-9424-FB79FDEC9B84}"/>
              </c:ext>
            </c:extLst>
          </c:dPt>
          <c:dPt>
            <c:idx val="2"/>
            <c:bubble3D val="0"/>
            <c:spPr>
              <a:solidFill>
                <a:schemeClr val="accent5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AB-467E-9424-FB79FDEC9B84}"/>
              </c:ext>
            </c:extLst>
          </c:dPt>
          <c:dPt>
            <c:idx val="3"/>
            <c:bubble3D val="0"/>
            <c:spPr>
              <a:solidFill>
                <a:schemeClr val="accent5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AB-467E-9424-FB79FDEC9B84}"/>
              </c:ext>
            </c:extLst>
          </c:dPt>
          <c:dLbls>
            <c:dLbl>
              <c:idx val="2"/>
              <c:layout>
                <c:manualLayout>
                  <c:x val="-5.35372848948375E-2"/>
                  <c:y val="7.266121707538568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AB-467E-9424-FB79FDEC9B84}"/>
                </c:ext>
              </c:extLst>
            </c:dLbl>
            <c:dLbl>
              <c:idx val="3"/>
              <c:layout>
                <c:manualLayout>
                  <c:x val="0.13862061697354744"/>
                  <c:y val="1.089918256130790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AB-467E-9424-FB79FDEC9B8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'Экспорт Бразилии'!$G$2:$G$5</c:f>
              <c:strCache>
                <c:ptCount val="4"/>
                <c:pt idx="0">
                  <c:v>Зимбабве</c:v>
                </c:pt>
                <c:pt idx="1">
                  <c:v>Вьетнам</c:v>
                </c:pt>
                <c:pt idx="2">
                  <c:v>Эсватини</c:v>
                </c:pt>
                <c:pt idx="3">
                  <c:v>Другие страны</c:v>
                </c:pt>
              </c:strCache>
            </c:strRef>
          </c:cat>
          <c:val>
            <c:numRef>
              <c:f>'Экспорт Бразилии'!$H$2:$H$5</c:f>
              <c:numCache>
                <c:formatCode>General</c:formatCode>
                <c:ptCount val="4"/>
                <c:pt idx="0">
                  <c:v>88</c:v>
                </c:pt>
                <c:pt idx="1">
                  <c:v>28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AB-467E-9424-FB79FDEC9B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</a:t>
            </a:r>
            <a:r>
              <a:rPr lang="ru-RU" baseline="0"/>
              <a:t> и</a:t>
            </a:r>
            <a:r>
              <a:rPr lang="ru-RU"/>
              <a:t>мпорта</a:t>
            </a:r>
            <a:r>
              <a:rPr lang="ru-RU" baseline="0"/>
              <a:t> пшеницы в ЮАР в 2024 г.</a:t>
            </a:r>
          </a:p>
          <a:p>
            <a:pPr algn="ctr">
              <a:defRPr/>
            </a:pPr>
            <a:r>
              <a:rPr lang="ru-RU" baseline="0"/>
              <a:t>в разрезе по странам, тыс. тонн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tint val="4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69-444F-9207-4FF47BDF2077}"/>
              </c:ext>
            </c:extLst>
          </c:dPt>
          <c:dPt>
            <c:idx val="1"/>
            <c:bubble3D val="0"/>
            <c:spPr>
              <a:solidFill>
                <a:schemeClr val="accent2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69-444F-9207-4FF47BDF2077}"/>
              </c:ext>
            </c:extLst>
          </c:dPt>
          <c:dPt>
            <c:idx val="2"/>
            <c:bubble3D val="0"/>
            <c:spPr>
              <a:solidFill>
                <a:schemeClr val="accent2">
                  <a:tint val="8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69-444F-9207-4FF47BDF2077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069-444F-9207-4FF47BDF2077}"/>
              </c:ext>
            </c:extLst>
          </c:dPt>
          <c:dPt>
            <c:idx val="4"/>
            <c:bubble3D val="0"/>
            <c:spPr>
              <a:solidFill>
                <a:schemeClr val="accent2">
                  <a:shade val="82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069-444F-9207-4FF47BDF2077}"/>
              </c:ext>
            </c:extLst>
          </c:dPt>
          <c:dPt>
            <c:idx val="5"/>
            <c:bubble3D val="0"/>
            <c:spPr>
              <a:solidFill>
                <a:schemeClr val="accent2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069-444F-9207-4FF47BDF2077}"/>
              </c:ext>
            </c:extLst>
          </c:dPt>
          <c:dPt>
            <c:idx val="6"/>
            <c:bubble3D val="0"/>
            <c:spPr>
              <a:solidFill>
                <a:schemeClr val="accent2">
                  <a:shade val="4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069-444F-9207-4FF47BDF2077}"/>
              </c:ext>
            </c:extLst>
          </c:dPt>
          <c:dLbls>
            <c:dLbl>
              <c:idx val="4"/>
              <c:layout>
                <c:manualLayout>
                  <c:x val="-1.8104763547353547E-2"/>
                  <c:y val="2.238863832370897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069-444F-9207-4FF47BDF2077}"/>
                </c:ext>
              </c:extLst>
            </c:dLbl>
            <c:dLbl>
              <c:idx val="5"/>
              <c:layout>
                <c:manualLayout>
                  <c:x val="1.275962029598831E-3"/>
                  <c:y val="-1.08993268736424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069-444F-9207-4FF47BDF2077}"/>
                </c:ext>
              </c:extLst>
            </c:dLbl>
            <c:dLbl>
              <c:idx val="6"/>
              <c:layout>
                <c:manualLayout>
                  <c:x val="0.11861040537582331"/>
                  <c:y val="-5.449663436821192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069-444F-9207-4FF47BDF207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'Экспорт Бразилии'!$J$2:$J$8</c:f>
              <c:strCache>
                <c:ptCount val="7"/>
                <c:pt idx="0">
                  <c:v>Россия</c:v>
                </c:pt>
                <c:pt idx="1">
                  <c:v>Литва</c:v>
                </c:pt>
                <c:pt idx="2">
                  <c:v>Австралия</c:v>
                </c:pt>
                <c:pt idx="3">
                  <c:v>Польша</c:v>
                </c:pt>
                <c:pt idx="4">
                  <c:v>Латвия</c:v>
                </c:pt>
                <c:pt idx="5">
                  <c:v>Канада</c:v>
                </c:pt>
                <c:pt idx="6">
                  <c:v>Другие страны</c:v>
                </c:pt>
              </c:strCache>
            </c:strRef>
          </c:cat>
          <c:val>
            <c:numRef>
              <c:f>'Экспорт Бразилии'!$K$2:$K$8</c:f>
              <c:numCache>
                <c:formatCode>General</c:formatCode>
                <c:ptCount val="7"/>
                <c:pt idx="0">
                  <c:v>514</c:v>
                </c:pt>
                <c:pt idx="1">
                  <c:v>472</c:v>
                </c:pt>
                <c:pt idx="2">
                  <c:v>411</c:v>
                </c:pt>
                <c:pt idx="3">
                  <c:v>255</c:v>
                </c:pt>
                <c:pt idx="4">
                  <c:v>64</c:v>
                </c:pt>
                <c:pt idx="5">
                  <c:v>54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069-444F-9207-4FF47BDF20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</a:t>
            </a:r>
            <a:r>
              <a:rPr lang="ru-RU" baseline="0"/>
              <a:t> и</a:t>
            </a:r>
            <a:r>
              <a:rPr lang="ru-RU"/>
              <a:t>мпорта</a:t>
            </a:r>
            <a:r>
              <a:rPr lang="ru-RU" baseline="0"/>
              <a:t> риса в ЮАР в 2024 г. </a:t>
            </a:r>
          </a:p>
          <a:p>
            <a:pPr>
              <a:defRPr/>
            </a:pPr>
            <a:r>
              <a:rPr lang="ru-RU" baseline="0"/>
              <a:t>в разрезе по странам, тыс. тонн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20-4FD4-8F2A-67831A88FBB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20-4FD4-8F2A-67831A88FBB2}"/>
              </c:ext>
            </c:extLst>
          </c:dPt>
          <c:dPt>
            <c:idx val="2"/>
            <c:bubble3D val="0"/>
            <c:spPr>
              <a:solidFill>
                <a:schemeClr val="accent3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20-4FD4-8F2A-67831A88FBB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'Экспорт Бразилии'!$M$2:$M$4</c:f>
              <c:strCache>
                <c:ptCount val="3"/>
                <c:pt idx="0">
                  <c:v>Таиланд</c:v>
                </c:pt>
                <c:pt idx="1">
                  <c:v>Индия</c:v>
                </c:pt>
                <c:pt idx="2">
                  <c:v>Другие страны</c:v>
                </c:pt>
              </c:strCache>
            </c:strRef>
          </c:cat>
          <c:val>
            <c:numRef>
              <c:f>'Экспорт Бразилии'!$N$2:$N$4</c:f>
              <c:numCache>
                <c:formatCode>General</c:formatCode>
                <c:ptCount val="3"/>
                <c:pt idx="0">
                  <c:v>835</c:v>
                </c:pt>
                <c:pt idx="1">
                  <c:v>206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20-4FD4-8F2A-67831A88F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Кочиев Алан Витальевич</dc:creator>
  <cp:keywords/>
  <dc:description/>
  <cp:lastModifiedBy>Сударикова Анна Николаевна</cp:lastModifiedBy>
  <cp:revision>7</cp:revision>
  <dcterms:created xsi:type="dcterms:W3CDTF">2025-04-21T15:15:00Z</dcterms:created>
  <dcterms:modified xsi:type="dcterms:W3CDTF">2025-04-23T07:45:00Z</dcterms:modified>
</cp:coreProperties>
</file>